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401"/>
        <w:gridCol w:w="555"/>
        <w:gridCol w:w="366"/>
        <w:gridCol w:w="398"/>
        <w:gridCol w:w="665"/>
        <w:gridCol w:w="665"/>
        <w:gridCol w:w="665"/>
        <w:gridCol w:w="665"/>
        <w:gridCol w:w="665"/>
        <w:gridCol w:w="665"/>
        <w:gridCol w:w="665"/>
        <w:gridCol w:w="665"/>
        <w:gridCol w:w="665"/>
        <w:gridCol w:w="665"/>
        <w:gridCol w:w="665"/>
        <w:gridCol w:w="903"/>
        <w:gridCol w:w="9"/>
      </w:tblGrid>
      <w:tr w:rsidR="006A701A" w:rsidRPr="008B4FE6" w:rsidTr="00566CBE">
        <w:trPr>
          <w:trHeight w:val="1611"/>
        </w:trPr>
        <w:tc>
          <w:tcPr>
            <w:tcW w:w="6045" w:type="dxa"/>
            <w:gridSpan w:val="9"/>
          </w:tcPr>
          <w:p w:rsidR="006A701A" w:rsidRPr="00481F21" w:rsidRDefault="004C1F3A" w:rsidP="00481F21">
            <w:pPr>
              <w:spacing w:before="120" w:line="240" w:lineRule="auto"/>
              <w:ind w:hanging="45"/>
              <w:rPr>
                <w:rFonts w:ascii="Times New Roman" w:hAnsi="Times New Roman"/>
                <w:color w:val="000000"/>
              </w:rPr>
            </w:pPr>
            <w:bookmarkStart w:id="0" w:name="t1"/>
            <w:bookmarkStart w:id="1" w:name="_GoBack"/>
            <w:bookmarkEnd w:id="1"/>
            <w:r w:rsidRPr="00566CBE">
              <w:rPr>
                <w:rFonts w:ascii="Times New Roman" w:hAnsi="Times New Roman"/>
                <w:b/>
                <w:color w:val="000000"/>
              </w:rPr>
              <w:t xml:space="preserve"> </w:t>
            </w:r>
            <w:r w:rsidR="006A701A" w:rsidRPr="00566CBE">
              <w:rPr>
                <w:rFonts w:ascii="Times New Roman" w:hAnsi="Times New Roman"/>
                <w:b/>
                <w:color w:val="000000"/>
              </w:rPr>
              <w:t xml:space="preserve">Nazwa </w:t>
            </w:r>
            <w:r w:rsidR="001B75D8" w:rsidRPr="00566CBE">
              <w:rPr>
                <w:rFonts w:ascii="Times New Roman" w:hAnsi="Times New Roman"/>
                <w:b/>
                <w:color w:val="000000"/>
              </w:rPr>
              <w:t>projektu</w:t>
            </w:r>
          </w:p>
          <w:p w:rsidR="004C1F3A" w:rsidRPr="00490C02" w:rsidRDefault="004C1F3A" w:rsidP="00616511">
            <w:pPr>
              <w:spacing w:before="120" w:line="240" w:lineRule="auto"/>
              <w:ind w:hanging="45"/>
              <w:rPr>
                <w:rFonts w:ascii="Times New Roman" w:hAnsi="Times New Roman"/>
                <w:color w:val="000000"/>
              </w:rPr>
            </w:pPr>
            <w:r w:rsidRPr="00490C02">
              <w:rPr>
                <w:rFonts w:ascii="Times New Roman" w:hAnsi="Times New Roman"/>
                <w:color w:val="000000"/>
              </w:rPr>
              <w:t xml:space="preserve">Ustawa o zmianie ustawy o wspieraniu termomodernizacji i remontów oraz </w:t>
            </w:r>
            <w:r w:rsidR="002F6DEE">
              <w:rPr>
                <w:rFonts w:ascii="Times New Roman" w:hAnsi="Times New Roman"/>
                <w:color w:val="000000"/>
              </w:rPr>
              <w:t xml:space="preserve">niektórych innych </w:t>
            </w:r>
            <w:r w:rsidR="00116A3B">
              <w:rPr>
                <w:rFonts w:ascii="Times New Roman" w:hAnsi="Times New Roman"/>
                <w:color w:val="000000"/>
              </w:rPr>
              <w:t>ustaw</w:t>
            </w:r>
          </w:p>
          <w:p w:rsidR="006A701A" w:rsidRPr="00490C02" w:rsidRDefault="004C1F3A" w:rsidP="00616511">
            <w:pPr>
              <w:spacing w:before="120" w:line="240" w:lineRule="auto"/>
              <w:ind w:hanging="45"/>
              <w:rPr>
                <w:rFonts w:ascii="Times New Roman" w:hAnsi="Times New Roman"/>
                <w:b/>
                <w:color w:val="000000"/>
              </w:rPr>
            </w:pPr>
            <w:r w:rsidRPr="00490C02">
              <w:rPr>
                <w:rFonts w:ascii="Times New Roman" w:hAnsi="Times New Roman"/>
                <w:b/>
                <w:color w:val="000000"/>
              </w:rPr>
              <w:t xml:space="preserve"> </w:t>
            </w:r>
            <w:r w:rsidR="006A701A" w:rsidRPr="00490C02">
              <w:rPr>
                <w:rFonts w:ascii="Times New Roman" w:hAnsi="Times New Roman"/>
                <w:b/>
                <w:color w:val="000000"/>
              </w:rPr>
              <w:t xml:space="preserve">Ministerstwo wiodące </w:t>
            </w:r>
          </w:p>
          <w:p w:rsidR="004C1F3A" w:rsidRPr="00490C02" w:rsidRDefault="004C1F3A" w:rsidP="004C1F3A">
            <w:pPr>
              <w:spacing w:before="120" w:line="240" w:lineRule="auto"/>
              <w:ind w:hanging="45"/>
              <w:rPr>
                <w:rFonts w:ascii="Times New Roman" w:hAnsi="Times New Roman"/>
                <w:color w:val="000000"/>
              </w:rPr>
            </w:pPr>
            <w:r w:rsidRPr="00490C02">
              <w:rPr>
                <w:rFonts w:ascii="Times New Roman" w:hAnsi="Times New Roman"/>
                <w:color w:val="000000"/>
              </w:rPr>
              <w:t xml:space="preserve"> </w:t>
            </w:r>
            <w:r w:rsidR="00513D9B">
              <w:rPr>
                <w:rFonts w:ascii="Times New Roman" w:hAnsi="Times New Roman"/>
                <w:color w:val="000000"/>
              </w:rPr>
              <w:t xml:space="preserve">Ministerstwo Klimatu </w:t>
            </w:r>
          </w:p>
          <w:bookmarkEnd w:id="0"/>
          <w:p w:rsidR="001B3460" w:rsidRPr="00490C02" w:rsidRDefault="001B3460" w:rsidP="001B3460">
            <w:pPr>
              <w:spacing w:line="240" w:lineRule="auto"/>
              <w:rPr>
                <w:rFonts w:ascii="Times New Roman" w:hAnsi="Times New Roman"/>
                <w:b/>
              </w:rPr>
            </w:pPr>
            <w:r w:rsidRPr="00490C02">
              <w:rPr>
                <w:rFonts w:ascii="Times New Roman" w:hAnsi="Times New Roman"/>
                <w:b/>
              </w:rPr>
              <w:t xml:space="preserve">Osoba odpowiedzialna za projekt w randze Ministra, Sekretarza Stanu lub Podsekretarza Stanu </w:t>
            </w:r>
          </w:p>
          <w:p w:rsidR="004C1F3A" w:rsidRPr="00490C02" w:rsidRDefault="004C1F3A" w:rsidP="004C1F3A">
            <w:pPr>
              <w:spacing w:line="240" w:lineRule="auto"/>
              <w:ind w:hanging="34"/>
              <w:rPr>
                <w:rFonts w:ascii="Times New Roman" w:eastAsia="Times New Roman" w:hAnsi="Times New Roman"/>
                <w:color w:val="000000"/>
                <w:lang w:eastAsia="pl-PL"/>
              </w:rPr>
            </w:pPr>
            <w:r w:rsidRPr="00490C02">
              <w:rPr>
                <w:rFonts w:ascii="Times New Roman" w:eastAsia="Times New Roman" w:hAnsi="Times New Roman"/>
                <w:color w:val="000000"/>
                <w:lang w:eastAsia="pl-PL"/>
              </w:rPr>
              <w:t xml:space="preserve"> </w:t>
            </w:r>
            <w:r w:rsidR="00513D9B">
              <w:rPr>
                <w:rFonts w:ascii="Times New Roman" w:eastAsia="Times New Roman" w:hAnsi="Times New Roman"/>
                <w:color w:val="000000"/>
                <w:lang w:eastAsia="pl-PL"/>
              </w:rPr>
              <w:t>Ireneusz Zyska, Sekretarz Stanu w Ministerstwie Klimatu</w:t>
            </w:r>
          </w:p>
          <w:p w:rsidR="006A701A" w:rsidRPr="00490C02" w:rsidRDefault="004C1F3A" w:rsidP="00616511">
            <w:pPr>
              <w:spacing w:before="120" w:line="240" w:lineRule="auto"/>
              <w:ind w:hanging="45"/>
              <w:rPr>
                <w:rFonts w:ascii="Times New Roman" w:hAnsi="Times New Roman"/>
                <w:b/>
                <w:color w:val="000000"/>
              </w:rPr>
            </w:pPr>
            <w:r w:rsidRPr="00490C02">
              <w:rPr>
                <w:rFonts w:ascii="Times New Roman" w:hAnsi="Times New Roman"/>
                <w:b/>
                <w:color w:val="000000"/>
              </w:rPr>
              <w:t xml:space="preserve"> </w:t>
            </w:r>
            <w:r w:rsidR="006A701A" w:rsidRPr="00490C02">
              <w:rPr>
                <w:rFonts w:ascii="Times New Roman" w:hAnsi="Times New Roman"/>
                <w:b/>
                <w:color w:val="000000"/>
              </w:rPr>
              <w:t>Kontakt do opiekuna merytorycznego projektu</w:t>
            </w:r>
          </w:p>
          <w:p w:rsidR="006A701A" w:rsidRDefault="005B44B8" w:rsidP="00BE63C2">
            <w:pPr>
              <w:spacing w:line="240" w:lineRule="auto"/>
              <w:ind w:hanging="34"/>
              <w:rPr>
                <w:rFonts w:ascii="Times New Roman" w:hAnsi="Times New Roman"/>
                <w:color w:val="000000"/>
              </w:rPr>
            </w:pPr>
            <w:r>
              <w:rPr>
                <w:rFonts w:ascii="Times New Roman" w:hAnsi="Times New Roman"/>
                <w:color w:val="000000"/>
              </w:rPr>
              <w:t>Agnieszka Sosnowska</w:t>
            </w:r>
            <w:r w:rsidR="004C1F3A" w:rsidRPr="00490C02">
              <w:rPr>
                <w:rFonts w:ascii="Times New Roman" w:hAnsi="Times New Roman"/>
                <w:color w:val="000000"/>
              </w:rPr>
              <w:t xml:space="preserve"> – Dyrektor </w:t>
            </w:r>
            <w:r w:rsidR="00331649">
              <w:rPr>
                <w:rFonts w:ascii="Times New Roman" w:hAnsi="Times New Roman"/>
                <w:color w:val="000000"/>
              </w:rPr>
              <w:t>Departamentu</w:t>
            </w:r>
            <w:r w:rsidR="00513D9B">
              <w:rPr>
                <w:rFonts w:ascii="Times New Roman" w:hAnsi="Times New Roman"/>
                <w:color w:val="000000"/>
              </w:rPr>
              <w:t xml:space="preserve"> Ochrony Powietrza i </w:t>
            </w:r>
            <w:r w:rsidR="00874B2F">
              <w:rPr>
                <w:rFonts w:ascii="Times New Roman" w:hAnsi="Times New Roman"/>
                <w:color w:val="000000"/>
              </w:rPr>
              <w:t>Polityki Miejskiej</w:t>
            </w:r>
            <w:r w:rsidR="00513D9B">
              <w:rPr>
                <w:rFonts w:ascii="Times New Roman" w:hAnsi="Times New Roman"/>
                <w:color w:val="000000"/>
              </w:rPr>
              <w:t xml:space="preserve">, Ministerstwo Klimatu, tel. 22 369 27 70, </w:t>
            </w:r>
            <w:hyperlink r:id="rId11" w:history="1">
              <w:r w:rsidR="00513D9B" w:rsidRPr="00A817B3">
                <w:rPr>
                  <w:rStyle w:val="Hipercze"/>
                  <w:rFonts w:ascii="Times New Roman" w:hAnsi="Times New Roman"/>
                </w:rPr>
                <w:t>agnieszka.sosnowska@klimat.gov.pl</w:t>
              </w:r>
            </w:hyperlink>
          </w:p>
          <w:p w:rsidR="00513D9B" w:rsidRPr="008B4FE6" w:rsidRDefault="00513D9B" w:rsidP="00BE63C2">
            <w:pPr>
              <w:spacing w:line="240" w:lineRule="auto"/>
              <w:ind w:hanging="34"/>
              <w:rPr>
                <w:rFonts w:ascii="Times New Roman" w:hAnsi="Times New Roman"/>
                <w:color w:val="000000"/>
              </w:rPr>
            </w:pPr>
            <w:r>
              <w:rPr>
                <w:rFonts w:ascii="Times New Roman" w:hAnsi="Times New Roman"/>
                <w:color w:val="000000"/>
              </w:rPr>
              <w:t xml:space="preserve">Emilia Konopka-Górna, gł. specjalista w Departamencie Ochrony Powietrza i </w:t>
            </w:r>
            <w:r w:rsidR="00874B2F">
              <w:rPr>
                <w:rFonts w:ascii="Times New Roman" w:hAnsi="Times New Roman"/>
                <w:color w:val="000000"/>
              </w:rPr>
              <w:t>Polityki Miejskiej</w:t>
            </w:r>
            <w:r>
              <w:rPr>
                <w:rFonts w:ascii="Times New Roman" w:hAnsi="Times New Roman"/>
                <w:color w:val="000000"/>
              </w:rPr>
              <w:t xml:space="preserve">, Ministerstwo Klimatu, tel. 22 369 28 72, </w:t>
            </w:r>
            <w:hyperlink r:id="rId12" w:history="1">
              <w:r w:rsidR="00331649" w:rsidRPr="003401A7">
                <w:rPr>
                  <w:rStyle w:val="Hipercze"/>
                  <w:rFonts w:ascii="Times New Roman" w:hAnsi="Times New Roman"/>
                </w:rPr>
                <w:t>emilia.konopka-gorna@klimat.gov.pl</w:t>
              </w:r>
            </w:hyperlink>
            <w:r w:rsidR="00331649">
              <w:rPr>
                <w:rFonts w:ascii="Times New Roman" w:hAnsi="Times New Roman"/>
                <w:color w:val="000000"/>
              </w:rPr>
              <w:t xml:space="preserve"> </w:t>
            </w:r>
          </w:p>
        </w:tc>
        <w:tc>
          <w:tcPr>
            <w:tcW w:w="4902" w:type="dxa"/>
            <w:gridSpan w:val="8"/>
            <w:shd w:val="clear" w:color="auto" w:fill="FFFFFF"/>
          </w:tcPr>
          <w:p w:rsidR="00ED33B6" w:rsidRDefault="001B3460" w:rsidP="001B3460">
            <w:pPr>
              <w:spacing w:line="240" w:lineRule="auto"/>
              <w:rPr>
                <w:rFonts w:ascii="Times New Roman" w:hAnsi="Times New Roman"/>
                <w:b/>
                <w:sz w:val="21"/>
                <w:szCs w:val="21"/>
              </w:rPr>
            </w:pPr>
            <w:r w:rsidRPr="00642825">
              <w:rPr>
                <w:rFonts w:ascii="Times New Roman" w:hAnsi="Times New Roman"/>
                <w:b/>
                <w:sz w:val="21"/>
                <w:szCs w:val="21"/>
              </w:rPr>
              <w:t>Data sporządzenia</w:t>
            </w:r>
          </w:p>
          <w:p w:rsidR="001B3460" w:rsidRPr="00ED33B6" w:rsidRDefault="007D3D29" w:rsidP="001B3460">
            <w:pPr>
              <w:spacing w:line="240" w:lineRule="auto"/>
              <w:rPr>
                <w:rFonts w:ascii="Times New Roman" w:hAnsi="Times New Roman"/>
                <w:sz w:val="21"/>
                <w:szCs w:val="21"/>
              </w:rPr>
            </w:pPr>
            <w:r>
              <w:rPr>
                <w:rFonts w:ascii="Times New Roman" w:hAnsi="Times New Roman"/>
                <w:sz w:val="21"/>
                <w:szCs w:val="21"/>
              </w:rPr>
              <w:t>0</w:t>
            </w:r>
            <w:r w:rsidR="00273056">
              <w:rPr>
                <w:rFonts w:ascii="Times New Roman" w:hAnsi="Times New Roman"/>
                <w:sz w:val="21"/>
                <w:szCs w:val="21"/>
              </w:rPr>
              <w:t>8</w:t>
            </w:r>
            <w:r w:rsidR="00ED33B6" w:rsidRPr="00ED33B6">
              <w:rPr>
                <w:rFonts w:ascii="Times New Roman" w:hAnsi="Times New Roman"/>
                <w:sz w:val="21"/>
                <w:szCs w:val="21"/>
              </w:rPr>
              <w:t>.0</w:t>
            </w:r>
            <w:r>
              <w:rPr>
                <w:rFonts w:ascii="Times New Roman" w:hAnsi="Times New Roman"/>
                <w:sz w:val="21"/>
                <w:szCs w:val="21"/>
              </w:rPr>
              <w:t>6</w:t>
            </w:r>
            <w:r w:rsidR="00ED33B6" w:rsidRPr="00ED33B6">
              <w:rPr>
                <w:rFonts w:ascii="Times New Roman" w:hAnsi="Times New Roman"/>
                <w:sz w:val="21"/>
                <w:szCs w:val="21"/>
              </w:rPr>
              <w:t xml:space="preserve">.2020 r. </w:t>
            </w:r>
          </w:p>
          <w:p w:rsidR="00F76884" w:rsidRDefault="00F76884" w:rsidP="00F76884">
            <w:pPr>
              <w:spacing w:line="240" w:lineRule="auto"/>
              <w:rPr>
                <w:rFonts w:ascii="Times New Roman" w:hAnsi="Times New Roman"/>
                <w:b/>
              </w:rPr>
            </w:pPr>
          </w:p>
          <w:p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bookmarkStart w:id="2" w:name="Lista1"/>
          </w:p>
          <w:bookmarkEnd w:id="2" w:displacedByCustomXml="next"/>
          <w:sdt>
            <w:sdtPr>
              <w:rPr>
                <w:rFonts w:ascii="Times New Roman" w:hAnsi="Times New Roman"/>
              </w:rPr>
              <w:id w:val="-1451614635"/>
              <w:placeholder>
                <w:docPart w:val="DefaultPlaceholder_1082065159"/>
              </w:placeholder>
              <w:dropDownList>
                <w:listItem w:value="Wybierz element."/>
                <w:listItem w:displayText="Exposé PRM" w:value="Exposé PRM"/>
                <w:listItem w:displayText="Decyzja PRM/RM" w:value="Decyzja PRM/RM"/>
                <w:listItem w:displayText="Prawo UE" w:value="Prawo UE"/>
                <w:listItem w:displayText="Orzeczenie TK" w:value="Orzeczenie TK"/>
                <w:listItem w:displayText="Upoważnienie ustawowe" w:value="Upoważnienie ustawowe"/>
                <w:listItem w:displayText="Strategia" w:value="Strategia"/>
                <w:listItem w:displayText="Inne" w:value="Inne"/>
              </w:dropDownList>
            </w:sdtPr>
            <w:sdtEndPr/>
            <w:sdtContent>
              <w:p w:rsidR="00F76884" w:rsidRPr="00EF290C" w:rsidRDefault="00471228" w:rsidP="00F76884">
                <w:pPr>
                  <w:spacing w:line="240" w:lineRule="auto"/>
                  <w:rPr>
                    <w:rFonts w:ascii="Times New Roman" w:hAnsi="Times New Roman"/>
                  </w:rPr>
                </w:pPr>
                <w:r>
                  <w:rPr>
                    <w:rFonts w:ascii="Times New Roman" w:hAnsi="Times New Roman"/>
                  </w:rPr>
                  <w:t>Exposé PRM</w:t>
                </w:r>
              </w:p>
            </w:sdtContent>
          </w:sdt>
          <w:p w:rsidR="00BA2BB7" w:rsidRPr="0065019F" w:rsidRDefault="00BA2BB7" w:rsidP="00F76884">
            <w:pPr>
              <w:spacing w:line="240" w:lineRule="auto"/>
              <w:rPr>
                <w:rFonts w:ascii="Times New Roman" w:hAnsi="Times New Roman"/>
              </w:rPr>
            </w:pPr>
          </w:p>
          <w:p w:rsidR="00F76884" w:rsidRPr="0065019F" w:rsidRDefault="00F76884" w:rsidP="00F76884">
            <w:pPr>
              <w:spacing w:line="240" w:lineRule="auto"/>
              <w:rPr>
                <w:rFonts w:ascii="Times New Roman" w:hAnsi="Times New Roman"/>
              </w:rPr>
            </w:pPr>
          </w:p>
          <w:p w:rsidR="006A701A" w:rsidRPr="008B4FE6" w:rsidRDefault="006A701A" w:rsidP="007943E2">
            <w:pPr>
              <w:spacing w:before="120" w:line="240" w:lineRule="auto"/>
              <w:rPr>
                <w:rFonts w:ascii="Times New Roman" w:hAnsi="Times New Roman"/>
                <w:b/>
                <w:color w:val="000000"/>
              </w:rPr>
            </w:pPr>
            <w:r w:rsidRPr="008B4FE6">
              <w:rPr>
                <w:rFonts w:ascii="Times New Roman" w:hAnsi="Times New Roman"/>
                <w:b/>
                <w:color w:val="000000"/>
              </w:rPr>
              <w:t xml:space="preserve">Nr </w:t>
            </w:r>
            <w:r w:rsidR="0057668E">
              <w:rPr>
                <w:rFonts w:ascii="Times New Roman" w:hAnsi="Times New Roman"/>
                <w:b/>
                <w:color w:val="000000"/>
              </w:rPr>
              <w:t>w</w:t>
            </w:r>
            <w:r w:rsidRPr="008B4FE6">
              <w:rPr>
                <w:rFonts w:ascii="Times New Roman" w:hAnsi="Times New Roman"/>
                <w:b/>
                <w:color w:val="000000"/>
              </w:rPr>
              <w:t xml:space="preserve"> wykaz</w:t>
            </w:r>
            <w:r w:rsidR="0057668E">
              <w:rPr>
                <w:rFonts w:ascii="Times New Roman" w:hAnsi="Times New Roman"/>
                <w:b/>
                <w:color w:val="000000"/>
              </w:rPr>
              <w:t>ie</w:t>
            </w:r>
            <w:r w:rsidRPr="008B4FE6">
              <w:rPr>
                <w:rFonts w:ascii="Times New Roman" w:hAnsi="Times New Roman"/>
                <w:b/>
                <w:color w:val="000000"/>
              </w:rPr>
              <w:t xml:space="preserve"> prac </w:t>
            </w:r>
          </w:p>
          <w:p w:rsidR="006A701A" w:rsidRPr="008B4FE6" w:rsidRDefault="00CB6D3B" w:rsidP="007943E2">
            <w:pPr>
              <w:spacing w:line="240" w:lineRule="auto"/>
              <w:rPr>
                <w:rFonts w:ascii="Times New Roman" w:hAnsi="Times New Roman"/>
                <w:color w:val="000000"/>
              </w:rPr>
            </w:pPr>
            <w:r>
              <w:rPr>
                <w:rFonts w:ascii="Times New Roman" w:hAnsi="Times New Roman"/>
                <w:b/>
                <w:color w:val="000000"/>
              </w:rPr>
              <w:t>UA2</w:t>
            </w:r>
          </w:p>
          <w:p w:rsidR="006A701A" w:rsidRPr="008B4FE6" w:rsidRDefault="006A701A" w:rsidP="00A17CB2">
            <w:pPr>
              <w:spacing w:line="240" w:lineRule="auto"/>
              <w:rPr>
                <w:rFonts w:ascii="Times New Roman" w:hAnsi="Times New Roman"/>
                <w:color w:val="000000"/>
                <w:sz w:val="28"/>
                <w:szCs w:val="28"/>
              </w:rPr>
            </w:pPr>
          </w:p>
        </w:tc>
      </w:tr>
      <w:tr w:rsidR="006A701A" w:rsidRPr="0022687A" w:rsidTr="00481F21">
        <w:trPr>
          <w:trHeight w:val="142"/>
        </w:trPr>
        <w:tc>
          <w:tcPr>
            <w:tcW w:w="10947" w:type="dxa"/>
            <w:gridSpan w:val="17"/>
            <w:shd w:val="clear" w:color="auto" w:fill="99CCFF"/>
          </w:tcPr>
          <w:p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rsidTr="00481F21">
        <w:trPr>
          <w:trHeight w:val="333"/>
        </w:trPr>
        <w:tc>
          <w:tcPr>
            <w:tcW w:w="10947" w:type="dxa"/>
            <w:gridSpan w:val="17"/>
            <w:shd w:val="clear" w:color="auto" w:fill="99CCFF"/>
            <w:vAlign w:val="center"/>
          </w:tcPr>
          <w:p w:rsidR="006A701A" w:rsidRPr="008B4FE6" w:rsidRDefault="003D12F6" w:rsidP="006A701A">
            <w:pPr>
              <w:numPr>
                <w:ilvl w:val="0"/>
                <w:numId w:val="3"/>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3" w:name="Wybór1"/>
            <w:bookmarkEnd w:id="3"/>
          </w:p>
        </w:tc>
      </w:tr>
      <w:tr w:rsidR="006A701A" w:rsidRPr="008B4FE6" w:rsidTr="00481F21">
        <w:trPr>
          <w:trHeight w:val="142"/>
        </w:trPr>
        <w:tc>
          <w:tcPr>
            <w:tcW w:w="10947" w:type="dxa"/>
            <w:gridSpan w:val="17"/>
            <w:shd w:val="clear" w:color="auto" w:fill="FFFFFF"/>
          </w:tcPr>
          <w:p w:rsidR="002B23BA" w:rsidRDefault="00667E36" w:rsidP="005B44B8">
            <w:pPr>
              <w:spacing w:before="120" w:line="240" w:lineRule="auto"/>
              <w:jc w:val="both"/>
              <w:rPr>
                <w:rFonts w:ascii="Times New Roman" w:hAnsi="Times New Roman"/>
                <w:color w:val="000000"/>
              </w:rPr>
            </w:pPr>
            <w:r w:rsidRPr="00667E36">
              <w:rPr>
                <w:rFonts w:ascii="Times New Roman" w:hAnsi="Times New Roman"/>
                <w:color w:val="000000"/>
              </w:rPr>
              <w:t xml:space="preserve">Projekt ustawy o zmianie ustawy o wspieraniu termomodernizacji i remontów </w:t>
            </w:r>
            <w:r w:rsidR="001B67EC" w:rsidRPr="001B67EC">
              <w:rPr>
                <w:rFonts w:ascii="Times New Roman" w:hAnsi="Times New Roman"/>
                <w:color w:val="000000"/>
              </w:rPr>
              <w:t xml:space="preserve">oraz </w:t>
            </w:r>
            <w:r w:rsidR="002339D4" w:rsidRPr="00A80B50">
              <w:rPr>
                <w:rFonts w:ascii="Times New Roman" w:hAnsi="Times New Roman"/>
                <w:color w:val="000000"/>
              </w:rPr>
              <w:t>niektórych innych ustaw</w:t>
            </w:r>
            <w:r w:rsidR="001B67EC" w:rsidRPr="001B67EC">
              <w:rPr>
                <w:rFonts w:ascii="Times New Roman" w:hAnsi="Times New Roman"/>
                <w:color w:val="000000"/>
              </w:rPr>
              <w:t xml:space="preserve"> </w:t>
            </w:r>
            <w:r w:rsidRPr="00667E36">
              <w:rPr>
                <w:rFonts w:ascii="Times New Roman" w:hAnsi="Times New Roman"/>
                <w:color w:val="000000"/>
              </w:rPr>
              <w:t>stwarza warunki do podjęcia realnych działań w celu eliminacji zjawiska smogu, w tym przede wszystkim tzw. niskiej emisji pochodzącej z sektora komunalno</w:t>
            </w:r>
            <w:r w:rsidR="002339D4" w:rsidRPr="00A80B50">
              <w:rPr>
                <w:rFonts w:ascii="Times New Roman" w:hAnsi="Times New Roman"/>
                <w:color w:val="000000"/>
              </w:rPr>
              <w:t>-</w:t>
            </w:r>
            <w:r w:rsidRPr="00667E36">
              <w:rPr>
                <w:rFonts w:ascii="Times New Roman" w:hAnsi="Times New Roman"/>
                <w:color w:val="000000"/>
              </w:rPr>
              <w:t xml:space="preserve">bytowego. </w:t>
            </w:r>
          </w:p>
          <w:p w:rsidR="002B23BA" w:rsidRDefault="002339D4" w:rsidP="005B44B8">
            <w:pPr>
              <w:spacing w:before="120" w:line="240" w:lineRule="auto"/>
              <w:jc w:val="both"/>
              <w:rPr>
                <w:rFonts w:ascii="Times New Roman" w:hAnsi="Times New Roman"/>
                <w:color w:val="000000"/>
              </w:rPr>
            </w:pPr>
            <w:r w:rsidRPr="00A80B50">
              <w:rPr>
                <w:rFonts w:ascii="Times New Roman" w:hAnsi="Times New Roman"/>
                <w:color w:val="000000"/>
              </w:rPr>
              <w:t>Po pierwsze</w:t>
            </w:r>
            <w:r w:rsidR="00667E36" w:rsidRPr="00667E36">
              <w:rPr>
                <w:rFonts w:ascii="Times New Roman" w:hAnsi="Times New Roman"/>
                <w:color w:val="000000"/>
              </w:rPr>
              <w:t xml:space="preserve"> proponuje działania na rzecz udoskonalenia funkcjonującego od lutego 2019 r. pilotażowego instrumentu na rzecz termomodernizacji (w tym wymiany nieekologicznych źródeł ciepła) budynków jednorodzinnych osób ubogich energetycznie (dalej zwany jako „Program Stop Smog”). </w:t>
            </w:r>
          </w:p>
          <w:p w:rsidR="002B23BA" w:rsidRDefault="002339D4" w:rsidP="005B44B8">
            <w:pPr>
              <w:spacing w:before="120" w:line="240" w:lineRule="auto"/>
              <w:jc w:val="both"/>
              <w:rPr>
                <w:rFonts w:ascii="Times New Roman" w:hAnsi="Times New Roman"/>
                <w:color w:val="000000"/>
              </w:rPr>
            </w:pPr>
            <w:r w:rsidRPr="00A80B50">
              <w:rPr>
                <w:rFonts w:ascii="Times New Roman" w:hAnsi="Times New Roman"/>
                <w:color w:val="000000"/>
              </w:rPr>
              <w:t>Po drugie</w:t>
            </w:r>
            <w:r w:rsidR="00667E36" w:rsidRPr="00667E36">
              <w:rPr>
                <w:rFonts w:ascii="Times New Roman" w:hAnsi="Times New Roman"/>
                <w:color w:val="000000"/>
              </w:rPr>
              <w:t xml:space="preserve"> kluczowe jest podjęcie działań na rzecz zdiagnozowania źródeł niskiej emisji. W tym kontekście niezbędne jest rozpoczęcie gromadzenia jednolitych i uspójnionych danych w skali całego kraju dotyczących budynków i pochodzących z nich źródeł emisji, które stanowią kluczowy element do planowania działań naprawczych (por. raport Najwyższej Izby Kontroli z dnia 27 sierpnia 2018 r. LKR.430.003.2018 Nr ewid. 150/2018/P/17/078/LKR). W celu zdiagnozowania i zidentyfikowania źródeł emisji z budynków przewiduję się utworzenie i uruchomienie Centralnej Ewidencji Emisyjności Budynków (dalej jako: CEEB).</w:t>
            </w:r>
            <w:r w:rsidR="00667E36">
              <w:rPr>
                <w:rFonts w:ascii="Times New Roman" w:hAnsi="Times New Roman"/>
                <w:color w:val="000000"/>
              </w:rPr>
              <w:t xml:space="preserve"> </w:t>
            </w:r>
          </w:p>
          <w:p w:rsidR="00667E36" w:rsidRPr="00DE381F" w:rsidRDefault="002339D4" w:rsidP="00481F21">
            <w:pPr>
              <w:spacing w:before="120" w:line="240" w:lineRule="auto"/>
              <w:jc w:val="both"/>
              <w:rPr>
                <w:rFonts w:ascii="Times New Roman" w:hAnsi="Times New Roman"/>
                <w:color w:val="000000"/>
              </w:rPr>
            </w:pPr>
            <w:r w:rsidRPr="009A3181">
              <w:rPr>
                <w:rFonts w:ascii="Times New Roman" w:hAnsi="Times New Roman"/>
                <w:color w:val="000000"/>
              </w:rPr>
              <w:t>Po trzecie</w:t>
            </w:r>
            <w:r w:rsidR="002B23BA">
              <w:rPr>
                <w:rFonts w:ascii="Times New Roman" w:hAnsi="Times New Roman"/>
                <w:color w:val="000000"/>
              </w:rPr>
              <w:t xml:space="preserve">, w wyniku uwag zgłoszonych w ramach konsultacji międzyresortowych i publicznych, przez </w:t>
            </w:r>
            <w:r w:rsidR="002B23BA" w:rsidRPr="001C0F55">
              <w:rPr>
                <w:rFonts w:ascii="Times New Roman" w:hAnsi="Times New Roman"/>
                <w:color w:val="000000"/>
              </w:rPr>
              <w:t>Narodowy Funduszu Ochrony Środowiska i Gospodarki Wodnej (dalej jako: NFOŚiGW)</w:t>
            </w:r>
            <w:r w:rsidR="002B23BA">
              <w:rPr>
                <w:rFonts w:ascii="Times New Roman" w:hAnsi="Times New Roman"/>
                <w:color w:val="000000"/>
              </w:rPr>
              <w:t xml:space="preserve">, odpowiedzialny za realizację </w:t>
            </w:r>
            <w:r w:rsidR="002B23BA" w:rsidRPr="001C0F55">
              <w:rPr>
                <w:rFonts w:ascii="Times New Roman" w:hAnsi="Times New Roman"/>
                <w:color w:val="000000"/>
              </w:rPr>
              <w:t>rządowego programu pr</w:t>
            </w:r>
            <w:r w:rsidR="002B23BA">
              <w:rPr>
                <w:rFonts w:ascii="Times New Roman" w:hAnsi="Times New Roman"/>
                <w:color w:val="000000"/>
              </w:rPr>
              <w:t>iorytetowego „Czyste Powietrze”, oraz Ministerstwo Klimatu,</w:t>
            </w:r>
            <w:r w:rsidRPr="009A3181">
              <w:rPr>
                <w:rFonts w:ascii="Times New Roman" w:hAnsi="Times New Roman"/>
                <w:color w:val="000000"/>
              </w:rPr>
              <w:t xml:space="preserve"> projekt ustawy wprowadza zmiany niezbędne </w:t>
            </w:r>
            <w:r w:rsidR="002B23BA">
              <w:rPr>
                <w:rFonts w:ascii="Times New Roman" w:hAnsi="Times New Roman"/>
                <w:color w:val="000000"/>
              </w:rPr>
              <w:t xml:space="preserve">w celu ujednolicenia funkcjonowania wszystkich programów rządowych dotyczących ograniczania emisji zanieczyszczeń w domach jednorodzinnych oraz </w:t>
            </w:r>
            <w:r w:rsidRPr="009A3181">
              <w:rPr>
                <w:rFonts w:ascii="Times New Roman" w:hAnsi="Times New Roman"/>
                <w:color w:val="000000"/>
              </w:rPr>
              <w:t>usprawnieni</w:t>
            </w:r>
            <w:r w:rsidR="002B23BA">
              <w:rPr>
                <w:rFonts w:ascii="Times New Roman" w:hAnsi="Times New Roman"/>
                <w:color w:val="000000"/>
              </w:rPr>
              <w:t>a</w:t>
            </w:r>
            <w:r w:rsidRPr="009A3181">
              <w:rPr>
                <w:rFonts w:ascii="Times New Roman" w:hAnsi="Times New Roman"/>
                <w:color w:val="000000"/>
              </w:rPr>
              <w:t xml:space="preserve"> działania </w:t>
            </w:r>
            <w:r w:rsidR="002B23BA">
              <w:rPr>
                <w:rFonts w:ascii="Times New Roman" w:hAnsi="Times New Roman"/>
                <w:color w:val="000000"/>
              </w:rPr>
              <w:t xml:space="preserve">ww. programu „Czyste Powietrze”.  </w:t>
            </w:r>
          </w:p>
          <w:p w:rsidR="004C1F3A" w:rsidRPr="004C1F3A" w:rsidRDefault="004C1F3A" w:rsidP="00481F21">
            <w:pPr>
              <w:spacing w:before="120" w:line="240" w:lineRule="auto"/>
              <w:jc w:val="both"/>
              <w:rPr>
                <w:rFonts w:ascii="Times New Roman" w:hAnsi="Times New Roman"/>
                <w:color w:val="000000"/>
              </w:rPr>
            </w:pPr>
            <w:r w:rsidRPr="004C1F3A">
              <w:rPr>
                <w:rFonts w:ascii="Times New Roman" w:hAnsi="Times New Roman"/>
                <w:color w:val="000000"/>
              </w:rPr>
              <w:lastRenderedPageBreak/>
              <w:t>Konieczność znaczącej poprawy jakości powietrza w Polsce jest jednym z największych wyzwań, z którymi boryka się polska administracja publiczna i jedną z najpilniejszych potrzeb obywateli Polski. Na wagę tego problemu – jako jednego z najważniejszych zadań do realizacji przez jego Rząd - wskazywał podczas swojego exposé w dniu 12 grudnia 2017 r. w Sejmie RP Prezes Rady Ministrów Mateusz Morawiecki.</w:t>
            </w:r>
          </w:p>
          <w:p w:rsidR="004C1F3A" w:rsidRPr="004C1F3A" w:rsidRDefault="004C1F3A" w:rsidP="005B44B8">
            <w:pPr>
              <w:spacing w:line="240" w:lineRule="auto"/>
              <w:jc w:val="both"/>
              <w:rPr>
                <w:rFonts w:ascii="Times New Roman" w:hAnsi="Times New Roman"/>
                <w:color w:val="000000"/>
              </w:rPr>
            </w:pPr>
            <w:r w:rsidRPr="004C1F3A">
              <w:rPr>
                <w:rFonts w:ascii="Times New Roman" w:hAnsi="Times New Roman"/>
                <w:color w:val="000000"/>
              </w:rPr>
              <w:t>Zły stan jakości powietrza w Polsce został również potwierdzony w wyroku z dnia 22 lutego 2018 r. Trybunału Sprawiedliwości Unii Europejskiej w sprawie o sygn. C-336/16, w którym TSUE uznał, że Rzeczpospolita Polska uchybiła zobowiązaniom wynikającym odpowiednio z art. 13 ust. 1 dyrektywy Parlamentu Europejskiego i Rady 2008/50/WE z dnia 21 maja 2008 r. w sprawie jakości powietrza i czystszego powietrza dla Europy</w:t>
            </w:r>
            <w:r w:rsidR="00471228">
              <w:rPr>
                <w:rFonts w:ascii="Times New Roman" w:hAnsi="Times New Roman"/>
                <w:color w:val="000000"/>
              </w:rPr>
              <w:t xml:space="preserve">, zwaną dalej </w:t>
            </w:r>
            <w:r w:rsidRPr="004C1F3A">
              <w:rPr>
                <w:rFonts w:ascii="Times New Roman" w:hAnsi="Times New Roman"/>
                <w:color w:val="000000"/>
              </w:rPr>
              <w:t>„dyrektyw</w:t>
            </w:r>
            <w:r w:rsidR="00471228">
              <w:rPr>
                <w:rFonts w:ascii="Times New Roman" w:hAnsi="Times New Roman"/>
                <w:color w:val="000000"/>
              </w:rPr>
              <w:t>ą</w:t>
            </w:r>
            <w:r w:rsidRPr="004C1F3A">
              <w:rPr>
                <w:rFonts w:ascii="Times New Roman" w:hAnsi="Times New Roman"/>
                <w:color w:val="000000"/>
              </w:rPr>
              <w:t>”</w:t>
            </w:r>
            <w:r w:rsidR="00471228">
              <w:rPr>
                <w:rFonts w:ascii="Times New Roman" w:hAnsi="Times New Roman"/>
                <w:color w:val="000000"/>
              </w:rPr>
              <w:t>,</w:t>
            </w:r>
            <w:r w:rsidRPr="004C1F3A">
              <w:rPr>
                <w:rFonts w:ascii="Times New Roman" w:hAnsi="Times New Roman"/>
                <w:color w:val="000000"/>
              </w:rPr>
              <w:t xml:space="preserve"> w związku z załącznikiem XI, art. 23 ust. 1 akapit drugi dyrektywy, a także art. 22 ust. 3 dyrektywy w związku z załącznikiem XI, albowiem:</w:t>
            </w:r>
          </w:p>
          <w:p w:rsidR="004C1F3A" w:rsidRPr="00F61A42" w:rsidRDefault="004C1F3A" w:rsidP="005B44B8">
            <w:pPr>
              <w:spacing w:line="240" w:lineRule="auto"/>
              <w:jc w:val="both"/>
              <w:rPr>
                <w:rFonts w:ascii="Times New Roman" w:hAnsi="Times New Roman"/>
                <w:color w:val="000000"/>
              </w:rPr>
            </w:pPr>
            <w:r w:rsidRPr="00F61A42">
              <w:rPr>
                <w:rFonts w:ascii="Times New Roman" w:hAnsi="Times New Roman"/>
                <w:color w:val="000000"/>
              </w:rPr>
              <w:t xml:space="preserve">– przekraczano od 2007 r. do 2015 r. włącznie dobowe wartości dopuszczalne dla stężenia pyłu PM10 w 35 strefach oceny i zarządzania jakością powietrza oraz roczne wartości dopuszczalne dla stężenia pyłu PM10 w 9 strefach oceny i zarządzania jakością powietrza; </w:t>
            </w:r>
          </w:p>
          <w:p w:rsidR="004C1F3A" w:rsidRPr="00F61A42" w:rsidRDefault="004C1F3A" w:rsidP="005B44B8">
            <w:pPr>
              <w:spacing w:line="240" w:lineRule="auto"/>
              <w:jc w:val="both"/>
              <w:rPr>
                <w:rFonts w:ascii="Times New Roman" w:hAnsi="Times New Roman"/>
                <w:color w:val="000000"/>
              </w:rPr>
            </w:pPr>
            <w:r w:rsidRPr="00F61A42">
              <w:rPr>
                <w:rFonts w:ascii="Times New Roman" w:hAnsi="Times New Roman"/>
                <w:color w:val="000000"/>
              </w:rPr>
              <w:t>– nie podejmowano odpowiednich działań w programach ochrony powietrza zmierzających do zapewnienia, aby okres występowania przekroczeń wartości dopuszczalnych dla stężenia pyłu PM10 w powietrzu był możliwie jak najkrótszy, albowiem w żadnym z programów ochrony powietrza przyjętych przez Polskę na szczeblu krajowym czy regionalnym nie wspomniano wyraźnie, że programy te powinny umożliwiać ograniczenie przekroczeń wartości dopuszczalnych w możliwie najkrótszym terminie;</w:t>
            </w:r>
          </w:p>
          <w:p w:rsidR="004C1F3A" w:rsidRPr="00F61A42" w:rsidRDefault="004C1F3A" w:rsidP="005B44B8">
            <w:pPr>
              <w:spacing w:line="240" w:lineRule="auto"/>
              <w:jc w:val="both"/>
              <w:rPr>
                <w:rFonts w:ascii="Times New Roman" w:hAnsi="Times New Roman"/>
                <w:color w:val="000000"/>
              </w:rPr>
            </w:pPr>
            <w:r w:rsidRPr="00F61A42">
              <w:rPr>
                <w:rFonts w:ascii="Times New Roman" w:hAnsi="Times New Roman"/>
                <w:color w:val="000000"/>
              </w:rPr>
              <w:t>– przekraczano dobowe wartości dopuszczalne dla stężenia pyłu PM10 w powietrzu zwiększone o margines tolerancji w okresie od 1 stycznia 2010 r. do 10 czerwca 2011 r. w szeregu stref i aglomeracji;</w:t>
            </w:r>
          </w:p>
          <w:p w:rsidR="004C1F3A" w:rsidRPr="00F61A42" w:rsidRDefault="004C1F3A" w:rsidP="005B44B8">
            <w:pPr>
              <w:spacing w:line="240" w:lineRule="auto"/>
              <w:jc w:val="both"/>
              <w:rPr>
                <w:rFonts w:ascii="Times New Roman" w:hAnsi="Times New Roman"/>
                <w:color w:val="000000"/>
              </w:rPr>
            </w:pPr>
            <w:r w:rsidRPr="00F61A42">
              <w:rPr>
                <w:rFonts w:ascii="Times New Roman" w:hAnsi="Times New Roman"/>
                <w:color w:val="000000"/>
              </w:rPr>
              <w:t xml:space="preserve">– nie dokonano prawidłowej transpozycji art. 23 ust. 1 akapit drugi dyrektywy. </w:t>
            </w:r>
          </w:p>
          <w:p w:rsidR="004C1F3A" w:rsidRPr="004C1F3A" w:rsidRDefault="004C1F3A" w:rsidP="005B44B8">
            <w:pPr>
              <w:spacing w:line="240" w:lineRule="auto"/>
              <w:jc w:val="both"/>
              <w:rPr>
                <w:rFonts w:ascii="Times New Roman" w:hAnsi="Times New Roman"/>
                <w:color w:val="000000"/>
              </w:rPr>
            </w:pPr>
            <w:r w:rsidRPr="004C1F3A">
              <w:rPr>
                <w:rFonts w:ascii="Times New Roman" w:hAnsi="Times New Roman"/>
                <w:color w:val="000000"/>
              </w:rPr>
              <w:t>Trybunał podkreślił przede wszystkim, że sam fakt przekroczenia dopuszczalnych wartości stężenia PM10 w otaczającym powietrzu wystarczy do stwierdzenia uchybienia zobowiązaniom państwa członkowskiego. Z innej jeszcze strony Trybunał podkreślił dodatkowo, że zanieczyszczenie pyłem PM10 w Polsce jest spowodowane głównie tzw. niską emisją (czyli emisją ze źródeł o wysokości nieprzekraczającej 40 metrów) z ogrzewania gospodarstw domowych, zaś pył PM10 może zawierać substancje toksyczne, takie jak wielopierścieniowe węglowodory aromatyczne, metale ciężkie, dioksyny i furany. Pył ten zawiera cząstki o średnicy mniejszej niż 10 mikrometrów, które mogą przenikać do górnych dróg oddechowych i płuc. Natomiast dotychczasowe środki legislacyjne i administracyjne, podjęte w Polsce w celu ograniczenia nieprzepisowych wartości, są niewystarczające.</w:t>
            </w:r>
          </w:p>
          <w:p w:rsidR="004C1F3A" w:rsidRPr="004C1F3A" w:rsidRDefault="004C1F3A" w:rsidP="005B44B8">
            <w:pPr>
              <w:spacing w:line="240" w:lineRule="auto"/>
              <w:jc w:val="both"/>
              <w:rPr>
                <w:rFonts w:ascii="Times New Roman" w:hAnsi="Times New Roman"/>
                <w:color w:val="000000"/>
              </w:rPr>
            </w:pPr>
            <w:r w:rsidRPr="004C1F3A">
              <w:rPr>
                <w:rFonts w:ascii="Times New Roman" w:hAnsi="Times New Roman"/>
                <w:color w:val="000000"/>
              </w:rPr>
              <w:t xml:space="preserve">Fatalna jakość powietrza w Polsce była również przedmiotem raportów </w:t>
            </w:r>
            <w:r w:rsidR="00667E36">
              <w:rPr>
                <w:rFonts w:ascii="Times New Roman" w:hAnsi="Times New Roman"/>
                <w:color w:val="000000"/>
              </w:rPr>
              <w:t xml:space="preserve">NIK, która w </w:t>
            </w:r>
            <w:r w:rsidRPr="004C1F3A">
              <w:rPr>
                <w:rFonts w:ascii="Times New Roman" w:hAnsi="Times New Roman"/>
                <w:color w:val="000000"/>
              </w:rPr>
              <w:t xml:space="preserve">raportach z 2000 r., 2014 r. i przede wszystkim w raporcie z dnia 27 sierpnia 2018 r. wskazywała, że głównym czynnikiem wpływającym na złą jakość powietrza w Polsce jest tzw. niska emisja, pochodząca w większości z sektora bytowo-komunalnego, gdzie stosuje się niskiej jakości urządzenia grzewcze, czyli kotły na paliwo stałe. Według danych Krajowego Ośrodka Bilansowania i Zarządzania Emisjami, domowe systemy grzewcze odpowiadają za około 43% emitowanego w Polsce szkodliwego dla zdrowia pyłu PM2,5 oraz za aż 87% emisji wielopierścieniowych węglowodorów aromatycznych, w tym rakotwórczego benzo[a]pirenu. Prowadzone w Polsce badania ilościowe wskazują, że ponad 80% budynków jednorodzinnych ogrzewanych jest paliwami stałymi, z czego aż trzy miliony za pomocą przestarzałych technologicznie, niskosprawnych kotłów na węgiel i drewno, emitujących znaczne ilości zanieczyszczeń (tzw. „kopciuchy”). Ponad 70% domów jednorodzinnych nie posiada żadnej izolacji cieplnej lub jest bardzo słabo ocieplona. </w:t>
            </w:r>
          </w:p>
          <w:p w:rsidR="004C1F3A" w:rsidRPr="004C1F3A" w:rsidRDefault="004C1F3A" w:rsidP="005B44B8">
            <w:pPr>
              <w:spacing w:line="240" w:lineRule="auto"/>
              <w:jc w:val="both"/>
              <w:rPr>
                <w:rFonts w:ascii="Times New Roman" w:hAnsi="Times New Roman"/>
                <w:color w:val="000000"/>
              </w:rPr>
            </w:pPr>
          </w:p>
          <w:p w:rsidR="00650305" w:rsidRPr="009A3181" w:rsidRDefault="00650305" w:rsidP="005B44B8">
            <w:pPr>
              <w:spacing w:line="240" w:lineRule="auto"/>
              <w:jc w:val="both"/>
              <w:rPr>
                <w:rFonts w:ascii="Times New Roman" w:hAnsi="Times New Roman"/>
                <w:b/>
                <w:color w:val="000000"/>
              </w:rPr>
            </w:pPr>
            <w:r>
              <w:rPr>
                <w:rFonts w:ascii="Times New Roman" w:hAnsi="Times New Roman"/>
                <w:b/>
                <w:color w:val="000000"/>
              </w:rPr>
              <w:t>Z</w:t>
            </w:r>
            <w:r w:rsidRPr="00650305">
              <w:rPr>
                <w:rFonts w:ascii="Times New Roman" w:hAnsi="Times New Roman"/>
                <w:b/>
                <w:color w:val="000000"/>
              </w:rPr>
              <w:t>diagnozowani</w:t>
            </w:r>
            <w:r>
              <w:rPr>
                <w:rFonts w:ascii="Times New Roman" w:hAnsi="Times New Roman"/>
                <w:b/>
                <w:color w:val="000000"/>
              </w:rPr>
              <w:t>e</w:t>
            </w:r>
            <w:r w:rsidRPr="00650305">
              <w:rPr>
                <w:rFonts w:ascii="Times New Roman" w:hAnsi="Times New Roman"/>
                <w:b/>
                <w:color w:val="000000"/>
              </w:rPr>
              <w:t xml:space="preserve"> źródeł emisji pochodzących z budynków </w:t>
            </w:r>
          </w:p>
          <w:p w:rsidR="004C1F3A" w:rsidRPr="004C1F3A" w:rsidRDefault="002B23BA" w:rsidP="005B44B8">
            <w:pPr>
              <w:spacing w:line="240" w:lineRule="auto"/>
              <w:jc w:val="both"/>
              <w:rPr>
                <w:rFonts w:ascii="Times New Roman" w:hAnsi="Times New Roman"/>
                <w:color w:val="000000"/>
              </w:rPr>
            </w:pPr>
            <w:r>
              <w:rPr>
                <w:rFonts w:ascii="Times New Roman" w:hAnsi="Times New Roman"/>
                <w:color w:val="000000"/>
              </w:rPr>
              <w:t>A</w:t>
            </w:r>
            <w:r w:rsidR="004C1F3A" w:rsidRPr="004C1F3A">
              <w:rPr>
                <w:rFonts w:ascii="Times New Roman" w:hAnsi="Times New Roman"/>
                <w:color w:val="000000"/>
              </w:rPr>
              <w:t xml:space="preserve">naliza raportów NIK w zakresie dotyczącym kontroli działań administracji publicznej (tak rządowej, jak i samorządowej) różnych szczebli związanych z wydatkowaniem środków publicznych na cele związane z poprawą jakości powietrza wskazuje wprost, iż </w:t>
            </w:r>
            <w:r w:rsidR="00D01400">
              <w:rPr>
                <w:rFonts w:ascii="Times New Roman" w:hAnsi="Times New Roman"/>
                <w:color w:val="000000"/>
              </w:rPr>
              <w:t>problemem</w:t>
            </w:r>
            <w:r w:rsidR="004C1F3A" w:rsidRPr="004C1F3A">
              <w:rPr>
                <w:rFonts w:ascii="Times New Roman" w:hAnsi="Times New Roman"/>
                <w:color w:val="000000"/>
              </w:rPr>
              <w:t xml:space="preserve"> jest brak jednolitej, wielopoziomowej strategii walki z zanieczyszczeniem powietrza, brak koordynacji działań realizowanych przez poszczególne agendy i szczeble administracji, jak również brak stosownych inwentaryzacji danych i wymiany informacji na temat poziomu i przyczyn zanieczyszczenia powietrza między administracją rządową oraz samorządową. W wielu miejscowościach uruchamiane są instrumenty wsparcia związane z wymianą pieców, podłączeniem do sieci ciepłowniczej lub montażem alternatywnych źródeł energii, jednakże działania te prowadzone są bez oparcia się na twardych danych. Tym samym wsparcie nie jest w sposób efektywny zarządzane – nie trafia tam gdzie jest potrzebne i w takiej formie w jakiej jest ono niezbędne. Efektem powyższego jest w ocenie NIK to, że skala i tempo działań podejmowanych przez administrację są niewystarczające </w:t>
            </w:r>
            <w:r w:rsidR="004C1F3A" w:rsidRPr="004C1F3A">
              <w:rPr>
                <w:rFonts w:ascii="Times New Roman" w:hAnsi="Times New Roman"/>
                <w:color w:val="000000"/>
              </w:rPr>
              <w:lastRenderedPageBreak/>
              <w:t>w odniesieniu do utrzymującej się złej jakości powietrza. „Żadna z 10 skontrolowanych gmin nie przeprowadziła pełnej inwentaryzacji źródeł emisji powierzchniowej, która pomogłaby ustalić liczbę palenisk węglowych na jej terenie (jedynie Kraków w 2013 r. zlecił pilotażową inwentaryzację w rejonach występowania największych stężeń zanieczyszczeń pyłem PM10). Tym samym samorządy nie miały wystarczającego rozeznania potrzeb i skali działań naprawczych, które należy przeprowadzić, by osiągnąć docelowe normy jakości powietrza. Z tego też m.in. względu „Polska od lat ma najbardziej zanieczyszczone powietrze w całej Unii Europejskiej”. Nie przez przypadek więc na liście najbardziej zanieczyszczonych miast UE, opublikowanej w 2018 r. przez Światową Organizację Zdrowia (WHO), aż 36 miast spośród 50 pochodzi z Polski.</w:t>
            </w:r>
          </w:p>
          <w:p w:rsidR="004C1F3A" w:rsidRPr="004C1F3A" w:rsidRDefault="004C1F3A" w:rsidP="005B44B8">
            <w:pPr>
              <w:spacing w:line="240" w:lineRule="auto"/>
              <w:jc w:val="both"/>
              <w:rPr>
                <w:rFonts w:ascii="Times New Roman" w:hAnsi="Times New Roman"/>
                <w:color w:val="000000"/>
              </w:rPr>
            </w:pPr>
          </w:p>
          <w:p w:rsidR="004C1F3A" w:rsidRPr="004C1F3A" w:rsidRDefault="004C1F3A" w:rsidP="005B44B8">
            <w:pPr>
              <w:spacing w:line="240" w:lineRule="auto"/>
              <w:jc w:val="both"/>
              <w:rPr>
                <w:rFonts w:ascii="Times New Roman" w:hAnsi="Times New Roman"/>
                <w:color w:val="000000"/>
              </w:rPr>
            </w:pPr>
            <w:r w:rsidRPr="004C1F3A">
              <w:rPr>
                <w:rFonts w:ascii="Times New Roman" w:hAnsi="Times New Roman"/>
                <w:color w:val="000000"/>
              </w:rPr>
              <w:t xml:space="preserve">W opinii NIK sytuacja ta została zdeterminowana przez wiele czynników, które poza nielicznymi wyjątkami, wynikały zarówno z niewystarczającej aktywności podmiotów publicznych na każdym szczeblu działalności (lokalnym, regionalnym i krajowym), jak i z niedostatecznej koordynacji, a co za tym idzie niezapewnienia spójności działań, realizowanych w ramach rozbudowanej struktury systemu ochrony środowiska. Podkreślono również, że warunki takie nie sprzyjają efektywnemu wydatkowaniu środków publicznych na ochronę powietrza. NIK podnosił, że nie zapewniono wystarczających mechanizmów dla stosowania jednolitych standardów sporządzania programów ochrony powietrza przez samorządy województw i porównywalności zawartych w nich danych. Ustalenia kontroli NIK potwierdzają, że w rzeczywistości poszczególne programy ochrony powietrza (nawet kolejne aktualizacje tych programów dla tego samego województwa) sporządzane były przy wykorzystaniu różnych danych wejściowych i zastosowaniu odmiennej metodyki wyznaczania wymaganych efektów ekologicznych. NIK podnosił również, że dotychczas nie wykazano też żadnej inicjatywy w celu stworzenia lepszych możliwości pozyskiwania danych do inwentaryzacji źródeł emisji z sektora komunalno-bytowego. Inwentaryzacje zlecane są bowiem przez samorządy najczęściej firmom zewnętrznym i prowadzone są w formie ankiet. Zdaniem NIK kompletne dane o źródłach emisji powierzchniowej stanowią kluczowy element do planowania działań naprawczych. Niemniej jednak ich pozyskiwanie w dotychczasowej formie jest nieefektywne. </w:t>
            </w:r>
          </w:p>
          <w:p w:rsidR="004C1F3A" w:rsidRPr="004C1F3A" w:rsidRDefault="004C1F3A" w:rsidP="005B44B8">
            <w:pPr>
              <w:spacing w:line="240" w:lineRule="auto"/>
              <w:jc w:val="both"/>
              <w:rPr>
                <w:rFonts w:ascii="Times New Roman" w:hAnsi="Times New Roman"/>
                <w:color w:val="000000"/>
              </w:rPr>
            </w:pPr>
          </w:p>
          <w:p w:rsidR="004C1F3A" w:rsidRPr="004C1F3A" w:rsidRDefault="004C1F3A" w:rsidP="005B44B8">
            <w:pPr>
              <w:spacing w:line="240" w:lineRule="auto"/>
              <w:jc w:val="both"/>
              <w:rPr>
                <w:rFonts w:ascii="Times New Roman" w:hAnsi="Times New Roman"/>
                <w:color w:val="000000"/>
              </w:rPr>
            </w:pPr>
            <w:r w:rsidRPr="004C1F3A">
              <w:rPr>
                <w:rFonts w:ascii="Times New Roman" w:hAnsi="Times New Roman"/>
                <w:color w:val="000000"/>
              </w:rPr>
              <w:t xml:space="preserve">NIK rekomendował podjęcie intensywnych działań na rzecz wprowadzenia możliwości inwentaryzacji budynków wyposażonych w źródła ciepła. Dotychczasowa skala i tempo działań naprawczych podejmowanych przez gminy – z wyjątkiem Krakowa - były niewystarczające do osiągnięcia rezultatów wskazanych w POP, tj. efektów ekologicznych dla działań związanych z ograniczeniem emisji z sektora komunalno-bytowego. Zgromadzone dane oraz przeprowadzone analizy wskazują, że osiągnięcie wymaganych poziomów redukcji emisji dla PM10, PM2,5 i B(a)P, przy bieżącym tempie działań naprawczych, może zająć w poszczególnych kontrolowanych województwach od 24 do niemal 100 lat. </w:t>
            </w:r>
          </w:p>
          <w:p w:rsidR="004C1F3A" w:rsidRPr="004C1F3A" w:rsidRDefault="004C1F3A" w:rsidP="005B44B8">
            <w:pPr>
              <w:spacing w:line="240" w:lineRule="auto"/>
              <w:jc w:val="both"/>
              <w:rPr>
                <w:rFonts w:ascii="Times New Roman" w:hAnsi="Times New Roman"/>
                <w:color w:val="000000"/>
              </w:rPr>
            </w:pPr>
          </w:p>
          <w:p w:rsidR="004C1F3A" w:rsidRPr="004C1F3A" w:rsidRDefault="004C1F3A" w:rsidP="005B44B8">
            <w:pPr>
              <w:spacing w:line="240" w:lineRule="auto"/>
              <w:jc w:val="both"/>
              <w:rPr>
                <w:rFonts w:ascii="Times New Roman" w:hAnsi="Times New Roman"/>
                <w:color w:val="000000"/>
              </w:rPr>
            </w:pPr>
            <w:r w:rsidRPr="004C1F3A">
              <w:rPr>
                <w:rFonts w:ascii="Times New Roman" w:hAnsi="Times New Roman"/>
                <w:color w:val="000000"/>
              </w:rPr>
              <w:t>W celu budowy kompleksowego systemu na poziomie krajowym, który pozwoli na zbudowanie systemu informatycznego wspierającego inwentaryzację źródeł niskiej emisji dla potrzeb optymalizacji działań realizowanych przez agendy rządowe i s</w:t>
            </w:r>
            <w:r w:rsidR="00D630EB">
              <w:rPr>
                <w:rFonts w:ascii="Times New Roman" w:hAnsi="Times New Roman"/>
                <w:color w:val="000000"/>
              </w:rPr>
              <w:t>amorządowe, w</w:t>
            </w:r>
            <w:r w:rsidRPr="004C1F3A">
              <w:rPr>
                <w:rFonts w:ascii="Times New Roman" w:hAnsi="Times New Roman"/>
                <w:color w:val="000000"/>
              </w:rPr>
              <w:t xml:space="preserve"> Ministerstwie Inwestycji i Rozwoju </w:t>
            </w:r>
            <w:r w:rsidR="00D630EB">
              <w:rPr>
                <w:rFonts w:ascii="Times New Roman" w:hAnsi="Times New Roman"/>
                <w:color w:val="000000"/>
              </w:rPr>
              <w:t xml:space="preserve">(2017 r.) </w:t>
            </w:r>
            <w:r w:rsidRPr="004C1F3A">
              <w:rPr>
                <w:rFonts w:ascii="Times New Roman" w:hAnsi="Times New Roman"/>
                <w:color w:val="000000"/>
              </w:rPr>
              <w:t>podjęto decyzję o wdrożeniu projektu badawczo – rozwojowego pt. „Zintegrowany system wsparcia polityki i programów Ograniczenia Niskiej Emisji” (ZONE)”, który realizowany jest na podstawie umowy zawartej pomiędzy konsorcjum zorganizowanym przez Ministra Przedsiębiorczości i Technologii a Narodowym Centrum Badań i Rozwoju w ramach programu GOSPOSTRATEG. Konsorcjum tworzy 5 podmiotów</w:t>
            </w:r>
            <w:r w:rsidR="00D630EB">
              <w:rPr>
                <w:rFonts w:ascii="Times New Roman" w:hAnsi="Times New Roman"/>
                <w:color w:val="000000"/>
              </w:rPr>
              <w:t>,</w:t>
            </w:r>
            <w:r w:rsidRPr="004C1F3A">
              <w:rPr>
                <w:rFonts w:ascii="Times New Roman" w:hAnsi="Times New Roman"/>
                <w:color w:val="000000"/>
              </w:rPr>
              <w:t xml:space="preserve"> tj. Ministerstwo Przedsiębiorczości i Technologii (MPiT), Instytut Łączności – Państwowy Instytut Badawczy (IŁ-PiB), Instytut Ochrony Środowiska – Państwowy Instytut Badawczy (IOŚ-PiB), stowarzyszenie Krakowski Alarm Smogowy (KAS) oraz Instytut Chemicznej Przeróbki Węgla (IChPW). W wyniku projektu ZONE zostanie wypracowany prototyp systemu informatycznego, który umożliwi wspieranie różnych szczebli administracji publicznej (tak rządowej, jak i samorządowej) w działaniach mających na c</w:t>
            </w:r>
            <w:r w:rsidR="00D630EB">
              <w:rPr>
                <w:rFonts w:ascii="Times New Roman" w:hAnsi="Times New Roman"/>
                <w:color w:val="000000"/>
              </w:rPr>
              <w:t xml:space="preserve">elu ograniczenie niskiej emisji, w tym przede wszystkim w zakresie stworzenia narzędzi wspomagających proces inwentaryzacji budynków w Polsce. </w:t>
            </w:r>
          </w:p>
          <w:p w:rsidR="004C1F3A" w:rsidRPr="004C1F3A" w:rsidRDefault="004C1F3A" w:rsidP="005B44B8">
            <w:pPr>
              <w:spacing w:line="240" w:lineRule="auto"/>
              <w:jc w:val="both"/>
              <w:rPr>
                <w:rFonts w:ascii="Times New Roman" w:hAnsi="Times New Roman"/>
                <w:color w:val="000000"/>
              </w:rPr>
            </w:pPr>
          </w:p>
          <w:p w:rsidR="004C1F3A" w:rsidRPr="004C1F3A" w:rsidRDefault="004C1F3A" w:rsidP="005B44B8">
            <w:pPr>
              <w:spacing w:line="240" w:lineRule="auto"/>
              <w:jc w:val="both"/>
              <w:rPr>
                <w:rFonts w:ascii="Times New Roman" w:hAnsi="Times New Roman"/>
                <w:color w:val="000000"/>
              </w:rPr>
            </w:pPr>
            <w:r w:rsidRPr="004C1F3A">
              <w:rPr>
                <w:rFonts w:ascii="Times New Roman" w:hAnsi="Times New Roman"/>
                <w:color w:val="000000"/>
              </w:rPr>
              <w:t xml:space="preserve">Główne cele projektu ZONE to: stworzenie prototypu systemu inwentaryzacji źródeł niskiej emisji z bazą danych urządzeń grzewczych i narzędziami do analizy tych danych, opracowanie metodyki badania </w:t>
            </w:r>
            <w:r w:rsidR="00D630EB">
              <w:rPr>
                <w:rFonts w:ascii="Times New Roman" w:hAnsi="Times New Roman"/>
                <w:color w:val="000000"/>
              </w:rPr>
              <w:t xml:space="preserve">kosztów zewnętrznych smogu, </w:t>
            </w:r>
            <w:r w:rsidRPr="004C1F3A">
              <w:rPr>
                <w:rFonts w:ascii="Times New Roman" w:hAnsi="Times New Roman"/>
                <w:color w:val="000000"/>
              </w:rPr>
              <w:t xml:space="preserve">przygotowanie projektów regulacji prawnych, które pozwolą na wdrożenie systemu ZONE w skali całego kraju oraz zbieranie i przetwarzanie danych zasilających ZONE, jak również ich systematyczną aktualizację przez umocowane do tego podmioty. Osiągnięcie ww. celów wymaga podjęcia szeregu działań, które ostatecznie pozwolą na utworzenie prototypu narzędzia informatycznego. Jednym z kluczowych etapów jest przeprowadzenie pilotaży w gminach, które pozwolą na przetestowanie przyjętych rozwiązań, ocenią ich </w:t>
            </w:r>
            <w:r w:rsidRPr="004C1F3A">
              <w:rPr>
                <w:rFonts w:ascii="Times New Roman" w:hAnsi="Times New Roman"/>
                <w:color w:val="000000"/>
              </w:rPr>
              <w:lastRenderedPageBreak/>
              <w:t>skuteczność, a następnie pozwolą na zaimplementowanie ewentualnych modyfikacji. Pilotażem zostało objętych 9 gmin, które wybrano na podstawie przyjęte</w:t>
            </w:r>
            <w:r w:rsidR="00D630EB">
              <w:rPr>
                <w:rFonts w:ascii="Times New Roman" w:hAnsi="Times New Roman"/>
                <w:color w:val="000000"/>
              </w:rPr>
              <w:t xml:space="preserve">j przez konsorcjantów metodyki. </w:t>
            </w:r>
            <w:r w:rsidRPr="004C1F3A">
              <w:rPr>
                <w:rFonts w:ascii="Times New Roman" w:hAnsi="Times New Roman"/>
                <w:color w:val="000000"/>
              </w:rPr>
              <w:t>W praktyce powstaje prototyp narzędzia informatycznego, który ujednolici system inwentaryzacji źródeł niskiej emisji w Polsce. Baza ta umożliwi zlikwidowanie trudności w dostępie do kluczowych informacji potrzebnych do podejmowania decyzji na różnych szczeblach administracji publicznej w zakresie kształtu i intensywności polityk i programów wspierających walkę z niską emisją pochodzącą z sektora komunalno-bytowego w Polsce. W celu uzyskania powyższych założeń kluczowe jest przetestowanie przyjętych w projekcie rozwiązań podczas pilotażu w 9 wybranych gminach, zaplanowanego do realizacji</w:t>
            </w:r>
            <w:r w:rsidR="00D630EB">
              <w:rPr>
                <w:rFonts w:ascii="Times New Roman" w:hAnsi="Times New Roman"/>
                <w:color w:val="000000"/>
              </w:rPr>
              <w:t xml:space="preserve"> w okresie od marca</w:t>
            </w:r>
            <w:r w:rsidRPr="004C1F3A">
              <w:rPr>
                <w:rFonts w:ascii="Times New Roman" w:hAnsi="Times New Roman"/>
                <w:color w:val="000000"/>
              </w:rPr>
              <w:t xml:space="preserve"> 2019 r.</w:t>
            </w:r>
            <w:r w:rsidR="00D630EB">
              <w:rPr>
                <w:rFonts w:ascii="Times New Roman" w:hAnsi="Times New Roman"/>
                <w:color w:val="000000"/>
              </w:rPr>
              <w:t xml:space="preserve"> do maja 2020 r.</w:t>
            </w:r>
            <w:r w:rsidRPr="004C1F3A">
              <w:rPr>
                <w:rFonts w:ascii="Times New Roman" w:hAnsi="Times New Roman"/>
                <w:color w:val="000000"/>
              </w:rPr>
              <w:t xml:space="preserve"> </w:t>
            </w:r>
          </w:p>
          <w:p w:rsidR="004C1F3A" w:rsidRPr="004C1F3A" w:rsidRDefault="004C1F3A" w:rsidP="005B44B8">
            <w:pPr>
              <w:spacing w:line="240" w:lineRule="auto"/>
              <w:jc w:val="both"/>
              <w:rPr>
                <w:rFonts w:ascii="Times New Roman" w:hAnsi="Times New Roman"/>
                <w:color w:val="000000"/>
              </w:rPr>
            </w:pPr>
          </w:p>
          <w:p w:rsidR="006A701A" w:rsidRDefault="004C1F3A" w:rsidP="005B44B8">
            <w:pPr>
              <w:spacing w:line="240" w:lineRule="auto"/>
              <w:jc w:val="both"/>
              <w:rPr>
                <w:rFonts w:ascii="Times New Roman" w:hAnsi="Times New Roman"/>
                <w:color w:val="000000"/>
              </w:rPr>
            </w:pPr>
            <w:r w:rsidRPr="004C1F3A">
              <w:rPr>
                <w:rFonts w:ascii="Times New Roman" w:hAnsi="Times New Roman"/>
                <w:color w:val="000000"/>
              </w:rPr>
              <w:t>Problem braku powszechnego i jednolitego narzędzia inwentaryzacyjnego wspierającego walkę z niską emisją dostrzegany jest na szczeblu samorządu terytorialnego. W petycji Gmin Metropolii Krakowskiej z dnia 14 maja 2019 r. skierowanej do Premiera RP Mateusza Morawieckiego wskazuje się na potrzebę wprowadzenia obowiązku rejestracji i okresowych przeglądów kotłów na paliwa stałe. „Obecnie obowiązujące przepisy prawne nie dają samorządowi gminnemu lub innemu organowi, uprawnienia do pozyskania od właściciela budynku informacji o sposobie ogrzewania budynku, w szczególności w przypadku, w którym budynek ogrzewany jest kotłem na paliwo stałe. Wprowadzenie nowego przepisu uzasadniamy koniecznością posiadania aktualnej informacji o liczbie i stanie technicznym kotłów na paliwa stałe, które są stosowane do ogrzewania mieszkań i budynków”. Tożsame rozwiązanie oczekiwane jest przez Konwent Marszałków Województw RP. W Stanowisku nr 1 Konwentu Marszałków Województw RP z dnia 12 lipca 2019 r. wyrażono postulat o konieczności „wprowadzenia regulacji prawnych ustanawiających ogólnopolską bazę danych, w której będą gromadzone informacje o źródłach spalania paliw o mocy cieplnej do 1 MW”.  Konwent Marszałków wskazał na niezwykle istotną potrzebę zmian wymagającej regulacji ustawowej – by móc podjąć realne działania w celu eliminacji zjawiska niskiej emisji, kluczowe jest m. in. zdiagnozowanie źródeł niskiej emisji. Konwent Marszałków podkreślił, powołując się na stanowisko NIK, że niezbędne jest gromadzenie danych dotyczących stanu budynków, jako jedyna informacja o źródłach emisji powierzchniowych, która stanowi kluczowy element do planowania działań naprawczych. Ustalenie sposobów gromadzenia danych wejściowych do inwentaryzacji źródeł emisji, dokładności danych wejściowy</w:t>
            </w:r>
            <w:r w:rsidR="0014005C">
              <w:rPr>
                <w:rFonts w:ascii="Times New Roman" w:hAnsi="Times New Roman"/>
                <w:color w:val="000000"/>
              </w:rPr>
              <w:t>ch przyjętych do inwentaryzacji,</w:t>
            </w:r>
            <w:r w:rsidRPr="004C1F3A">
              <w:rPr>
                <w:rFonts w:ascii="Times New Roman" w:hAnsi="Times New Roman"/>
                <w:color w:val="000000"/>
              </w:rPr>
              <w:t xml:space="preserve"> a także określenie zasad obliczania efektów ekologicznych osiągniętych w wyniku podjętych działań naprawczych - powinny wynikać tym samym z jednolitych standardów sporządzania programów ochrony powietrza.</w:t>
            </w:r>
          </w:p>
          <w:p w:rsidR="00650305" w:rsidRDefault="00650305" w:rsidP="005B44B8">
            <w:pPr>
              <w:spacing w:line="240" w:lineRule="auto"/>
              <w:jc w:val="both"/>
              <w:rPr>
                <w:rFonts w:ascii="Times New Roman" w:hAnsi="Times New Roman"/>
                <w:color w:val="000000"/>
              </w:rPr>
            </w:pPr>
          </w:p>
          <w:p w:rsidR="00650305" w:rsidRDefault="00650305" w:rsidP="005B44B8">
            <w:pPr>
              <w:spacing w:line="240" w:lineRule="auto"/>
              <w:jc w:val="both"/>
              <w:rPr>
                <w:rFonts w:ascii="Times New Roman" w:hAnsi="Times New Roman"/>
                <w:b/>
                <w:color w:val="000000"/>
              </w:rPr>
            </w:pPr>
            <w:r w:rsidRPr="009A3181">
              <w:rPr>
                <w:rFonts w:ascii="Times New Roman" w:hAnsi="Times New Roman"/>
                <w:b/>
                <w:color w:val="000000"/>
              </w:rPr>
              <w:t xml:space="preserve">Zwiększenie efektów działań wspierających </w:t>
            </w:r>
            <w:r w:rsidR="002B23BA">
              <w:rPr>
                <w:rFonts w:ascii="Times New Roman" w:hAnsi="Times New Roman"/>
                <w:b/>
                <w:color w:val="000000"/>
              </w:rPr>
              <w:t>ograniczenie emisji z</w:t>
            </w:r>
            <w:r w:rsidRPr="009A3181">
              <w:rPr>
                <w:rFonts w:ascii="Times New Roman" w:hAnsi="Times New Roman"/>
                <w:b/>
                <w:color w:val="000000"/>
              </w:rPr>
              <w:t xml:space="preserve"> budynk</w:t>
            </w:r>
            <w:r w:rsidR="002B23BA">
              <w:rPr>
                <w:rFonts w:ascii="Times New Roman" w:hAnsi="Times New Roman"/>
                <w:b/>
                <w:color w:val="000000"/>
              </w:rPr>
              <w:t>ów</w:t>
            </w:r>
            <w:r w:rsidRPr="009A3181">
              <w:rPr>
                <w:rFonts w:ascii="Times New Roman" w:hAnsi="Times New Roman"/>
                <w:b/>
                <w:color w:val="000000"/>
              </w:rPr>
              <w:t xml:space="preserve"> jednorodzinnych</w:t>
            </w:r>
          </w:p>
          <w:p w:rsidR="00A80B50" w:rsidRPr="009A3181" w:rsidRDefault="00A80B50" w:rsidP="005B44B8">
            <w:pPr>
              <w:spacing w:line="240" w:lineRule="auto"/>
              <w:jc w:val="both"/>
              <w:rPr>
                <w:rFonts w:ascii="Times New Roman" w:hAnsi="Times New Roman"/>
                <w:color w:val="000000"/>
                <w:u w:val="single"/>
              </w:rPr>
            </w:pPr>
            <w:r w:rsidRPr="009A3181">
              <w:rPr>
                <w:rFonts w:ascii="Times New Roman" w:hAnsi="Times New Roman"/>
                <w:color w:val="000000"/>
                <w:u w:val="single"/>
              </w:rPr>
              <w:t>Program Stop Smog</w:t>
            </w:r>
          </w:p>
          <w:p w:rsidR="00A84F85" w:rsidRPr="00A84F85" w:rsidRDefault="002B23BA" w:rsidP="005B44B8">
            <w:pPr>
              <w:spacing w:line="240" w:lineRule="auto"/>
              <w:jc w:val="both"/>
              <w:rPr>
                <w:rFonts w:ascii="Times New Roman" w:hAnsi="Times New Roman"/>
                <w:color w:val="000000"/>
              </w:rPr>
            </w:pPr>
            <w:r>
              <w:rPr>
                <w:rFonts w:ascii="Times New Roman" w:hAnsi="Times New Roman"/>
                <w:color w:val="000000"/>
              </w:rPr>
              <w:t xml:space="preserve">W </w:t>
            </w:r>
            <w:r w:rsidR="00A84F85" w:rsidRPr="00A84F85">
              <w:rPr>
                <w:rFonts w:ascii="Times New Roman" w:hAnsi="Times New Roman"/>
                <w:color w:val="000000"/>
              </w:rPr>
              <w:t>dniu 11 lutego</w:t>
            </w:r>
            <w:r w:rsidR="00A84F85">
              <w:rPr>
                <w:rFonts w:ascii="Times New Roman" w:hAnsi="Times New Roman"/>
                <w:color w:val="000000"/>
              </w:rPr>
              <w:t xml:space="preserve"> 2019 r. </w:t>
            </w:r>
            <w:r w:rsidR="00A84F85" w:rsidRPr="00A84F85">
              <w:rPr>
                <w:rFonts w:ascii="Times New Roman" w:hAnsi="Times New Roman"/>
                <w:color w:val="000000"/>
              </w:rPr>
              <w:t>weszły w życie przepisy ustawy o zmianie ustawy o wspieraniu termomodernizacji i remontów (Dz. U z 2019 r. poz. 51), na podstawie których został uruchomiony Program Stop Smog.</w:t>
            </w:r>
            <w:r w:rsidR="00A84F85">
              <w:rPr>
                <w:rFonts w:ascii="Times New Roman" w:hAnsi="Times New Roman"/>
                <w:color w:val="000000"/>
              </w:rPr>
              <w:t xml:space="preserve"> Program </w:t>
            </w:r>
            <w:r w:rsidR="00A84F85" w:rsidRPr="00A84F85">
              <w:rPr>
                <w:rFonts w:ascii="Times New Roman" w:hAnsi="Times New Roman"/>
                <w:color w:val="000000"/>
              </w:rPr>
              <w:t>jest skierowany do osób ubogich energetycznie zamieszkujących domy jednorodzinne.  Program jest adresowany do wszystkich gmin, które mogą wykazać się złą jakość powietrza na swoim terenie, tj. stężenia zanieczyszczeń powietrza przekraczają normy UE.</w:t>
            </w:r>
          </w:p>
          <w:p w:rsidR="009F78EA" w:rsidRDefault="009F78EA" w:rsidP="005B44B8">
            <w:pPr>
              <w:spacing w:line="240" w:lineRule="auto"/>
              <w:jc w:val="both"/>
              <w:rPr>
                <w:rFonts w:ascii="Times New Roman" w:hAnsi="Times New Roman"/>
                <w:color w:val="000000"/>
              </w:rPr>
            </w:pPr>
          </w:p>
          <w:p w:rsidR="00A84F85" w:rsidRPr="00A84F85" w:rsidRDefault="00A84F85" w:rsidP="005B44B8">
            <w:pPr>
              <w:spacing w:line="240" w:lineRule="auto"/>
              <w:jc w:val="both"/>
              <w:rPr>
                <w:rFonts w:ascii="Times New Roman" w:hAnsi="Times New Roman"/>
                <w:color w:val="000000"/>
              </w:rPr>
            </w:pPr>
            <w:r w:rsidRPr="00A84F85">
              <w:rPr>
                <w:rFonts w:ascii="Times New Roman" w:hAnsi="Times New Roman"/>
                <w:color w:val="000000"/>
              </w:rPr>
              <w:t>Program obejmuje realizację w ww. gospodarstwach domowych przedsięwzięć polegających na:</w:t>
            </w:r>
          </w:p>
          <w:p w:rsidR="00A84F85" w:rsidRPr="00A84F85" w:rsidRDefault="00A84F85" w:rsidP="005B44B8">
            <w:pPr>
              <w:pStyle w:val="Akapitzlist"/>
              <w:numPr>
                <w:ilvl w:val="0"/>
                <w:numId w:val="26"/>
              </w:numPr>
              <w:spacing w:line="240" w:lineRule="auto"/>
              <w:ind w:left="318" w:hanging="176"/>
              <w:jc w:val="both"/>
              <w:rPr>
                <w:rFonts w:ascii="Times New Roman" w:hAnsi="Times New Roman"/>
                <w:color w:val="000000"/>
              </w:rPr>
            </w:pPr>
            <w:r w:rsidRPr="00A84F85">
              <w:rPr>
                <w:rFonts w:ascii="Times New Roman" w:hAnsi="Times New Roman"/>
                <w:color w:val="000000"/>
              </w:rPr>
              <w:t xml:space="preserve">wymianie urządzeń lub systemów grzewczych na spełniające standardy niskoemisyjne, </w:t>
            </w:r>
          </w:p>
          <w:p w:rsidR="00A84F85" w:rsidRPr="00A84F85" w:rsidRDefault="00A84F85" w:rsidP="005B44B8">
            <w:pPr>
              <w:pStyle w:val="Akapitzlist"/>
              <w:numPr>
                <w:ilvl w:val="0"/>
                <w:numId w:val="26"/>
              </w:numPr>
              <w:spacing w:line="240" w:lineRule="auto"/>
              <w:ind w:left="318" w:hanging="176"/>
              <w:jc w:val="both"/>
              <w:rPr>
                <w:rFonts w:ascii="Times New Roman" w:hAnsi="Times New Roman"/>
                <w:color w:val="000000"/>
              </w:rPr>
            </w:pPr>
            <w:r w:rsidRPr="00A84F85">
              <w:rPr>
                <w:rFonts w:ascii="Times New Roman" w:hAnsi="Times New Roman"/>
                <w:color w:val="000000"/>
              </w:rPr>
              <w:t>likwidacji urządzeń lub systemów grzewczych oraz przyłączaniu do sieci ciepłowniczej, elektroenergetycznej lub gazowej,</w:t>
            </w:r>
          </w:p>
          <w:p w:rsidR="00A84F85" w:rsidRPr="00A84F85" w:rsidRDefault="00A84F85" w:rsidP="005B44B8">
            <w:pPr>
              <w:pStyle w:val="Akapitzlist"/>
              <w:numPr>
                <w:ilvl w:val="0"/>
                <w:numId w:val="26"/>
              </w:numPr>
              <w:spacing w:line="240" w:lineRule="auto"/>
              <w:ind w:left="318" w:hanging="176"/>
              <w:jc w:val="both"/>
              <w:rPr>
                <w:rFonts w:ascii="Times New Roman" w:hAnsi="Times New Roman"/>
                <w:color w:val="000000"/>
              </w:rPr>
            </w:pPr>
            <w:r w:rsidRPr="00A84F85">
              <w:rPr>
                <w:rFonts w:ascii="Times New Roman" w:hAnsi="Times New Roman"/>
                <w:color w:val="000000"/>
              </w:rPr>
              <w:t>kompleksowej termomodernizacji budynku.</w:t>
            </w:r>
          </w:p>
          <w:p w:rsidR="009F78EA" w:rsidRDefault="009F78EA" w:rsidP="005B44B8">
            <w:pPr>
              <w:spacing w:line="240" w:lineRule="auto"/>
              <w:jc w:val="both"/>
              <w:rPr>
                <w:rFonts w:ascii="Times New Roman" w:hAnsi="Times New Roman"/>
                <w:color w:val="000000"/>
              </w:rPr>
            </w:pPr>
          </w:p>
          <w:p w:rsidR="003C37CB" w:rsidRDefault="00A84F85" w:rsidP="005B44B8">
            <w:pPr>
              <w:spacing w:line="240" w:lineRule="auto"/>
              <w:jc w:val="both"/>
              <w:rPr>
                <w:rFonts w:ascii="Times New Roman" w:hAnsi="Times New Roman"/>
                <w:color w:val="000000"/>
              </w:rPr>
            </w:pPr>
            <w:r w:rsidRPr="00A84F85">
              <w:rPr>
                <w:rFonts w:ascii="Times New Roman" w:hAnsi="Times New Roman"/>
                <w:color w:val="000000"/>
              </w:rPr>
              <w:t>Przedsięwzięcia są realizowane na rzecz beneficjenta końcowego przez gminę i finansowane ze środków publicznej do 100% ich wartości. Gmina zapewnia 30% wkładu własnego (w przypadku gmin powyżej 100 tys. mieszkańców wkład musi być wyższy). Pozostała część Programu (70%) jest finansowana z budżetu państwa, poprzez Fundusz Termomodernizacji i Remontów. Program został obecnie zaplanowany do realizacji na lata 2019-2024, a jego łączny budżet (wkład budżetu pańs</w:t>
            </w:r>
            <w:r w:rsidR="00BB287A">
              <w:rPr>
                <w:rFonts w:ascii="Times New Roman" w:hAnsi="Times New Roman"/>
                <w:color w:val="000000"/>
              </w:rPr>
              <w:t xml:space="preserve">twa </w:t>
            </w:r>
            <w:r w:rsidRPr="00A84F85">
              <w:rPr>
                <w:rFonts w:ascii="Times New Roman" w:hAnsi="Times New Roman"/>
                <w:color w:val="000000"/>
              </w:rPr>
              <w:t>i samorządów) wynosi 1,2 mld zł.</w:t>
            </w:r>
            <w:r w:rsidR="00BB287A">
              <w:rPr>
                <w:rFonts w:ascii="Times New Roman" w:hAnsi="Times New Roman"/>
                <w:color w:val="000000"/>
              </w:rPr>
              <w:t xml:space="preserve"> </w:t>
            </w:r>
          </w:p>
          <w:p w:rsidR="009F78EA" w:rsidRDefault="009F78EA" w:rsidP="005B44B8">
            <w:pPr>
              <w:spacing w:line="240" w:lineRule="auto"/>
              <w:jc w:val="both"/>
              <w:rPr>
                <w:rFonts w:ascii="Times New Roman" w:hAnsi="Times New Roman"/>
                <w:color w:val="000000"/>
              </w:rPr>
            </w:pPr>
          </w:p>
          <w:p w:rsidR="003C37CB" w:rsidRPr="003C37CB" w:rsidRDefault="00BB287A" w:rsidP="005B44B8">
            <w:pPr>
              <w:spacing w:line="240" w:lineRule="auto"/>
              <w:jc w:val="both"/>
              <w:rPr>
                <w:rFonts w:ascii="Times New Roman" w:hAnsi="Times New Roman"/>
                <w:color w:val="000000"/>
              </w:rPr>
            </w:pPr>
            <w:r>
              <w:rPr>
                <w:rFonts w:ascii="Times New Roman" w:hAnsi="Times New Roman"/>
                <w:color w:val="000000"/>
              </w:rPr>
              <w:lastRenderedPageBreak/>
              <w:t>Jednakże do tej pory</w:t>
            </w:r>
            <w:r w:rsidRPr="00BB287A">
              <w:rPr>
                <w:rFonts w:ascii="Times New Roman" w:hAnsi="Times New Roman"/>
                <w:color w:val="000000"/>
              </w:rPr>
              <w:t xml:space="preserve"> podpisano </w:t>
            </w:r>
            <w:r>
              <w:rPr>
                <w:rFonts w:ascii="Times New Roman" w:hAnsi="Times New Roman"/>
                <w:color w:val="000000"/>
              </w:rPr>
              <w:t xml:space="preserve">z gminami na realizację ww. przedsięwzięć jedynie </w:t>
            </w:r>
            <w:r w:rsidRPr="00BB287A">
              <w:rPr>
                <w:rFonts w:ascii="Times New Roman" w:hAnsi="Times New Roman"/>
                <w:color w:val="000000"/>
              </w:rPr>
              <w:t>3 porozumienia (Skawina, Sucha Beskidzka, Pszczyna)</w:t>
            </w:r>
            <w:r w:rsidR="003C37CB">
              <w:rPr>
                <w:rFonts w:ascii="Times New Roman" w:hAnsi="Times New Roman"/>
                <w:color w:val="000000"/>
              </w:rPr>
              <w:t xml:space="preserve">, a </w:t>
            </w:r>
            <w:r w:rsidR="003C37CB" w:rsidRPr="003C37CB">
              <w:rPr>
                <w:rFonts w:ascii="Times New Roman" w:hAnsi="Times New Roman"/>
                <w:color w:val="000000"/>
              </w:rPr>
              <w:t xml:space="preserve">kolejne 2 wnioski gmin są w trakcie procedowania (Tuchów i Niepołomice). Zgodnie z tymi wnioskami i 3 podpisanymi porozumieniami, w latach 2019-22 będzie zrealizowanych 897 przedsięwzięć niskoemisyjnych na łączną kwotę blisko 48 mln zł. Kolejne gminy przygotowują się do przygotowania wniosku, w tym Nakło nad Notecią, Opoczno, Proszowice, </w:t>
            </w:r>
            <w:r w:rsidR="001A5B21" w:rsidRPr="003C37CB">
              <w:rPr>
                <w:rFonts w:ascii="Times New Roman" w:hAnsi="Times New Roman"/>
                <w:color w:val="000000"/>
              </w:rPr>
              <w:t>Rybnik</w:t>
            </w:r>
            <w:r w:rsidR="001A5B21">
              <w:rPr>
                <w:rFonts w:ascii="Times New Roman" w:hAnsi="Times New Roman"/>
                <w:color w:val="000000"/>
              </w:rPr>
              <w:t>,</w:t>
            </w:r>
            <w:r w:rsidR="001A5B21" w:rsidRPr="003C37CB">
              <w:rPr>
                <w:rFonts w:ascii="Times New Roman" w:hAnsi="Times New Roman"/>
                <w:color w:val="000000"/>
              </w:rPr>
              <w:t xml:space="preserve"> </w:t>
            </w:r>
            <w:r w:rsidR="003C37CB" w:rsidRPr="003C37CB">
              <w:rPr>
                <w:rFonts w:ascii="Times New Roman" w:hAnsi="Times New Roman"/>
                <w:color w:val="000000"/>
              </w:rPr>
              <w:t>Sosnowiec</w:t>
            </w:r>
            <w:r w:rsidR="001A5B21">
              <w:rPr>
                <w:rFonts w:ascii="Times New Roman" w:hAnsi="Times New Roman"/>
                <w:color w:val="000000"/>
              </w:rPr>
              <w:t xml:space="preserve"> i</w:t>
            </w:r>
            <w:r w:rsidR="003C37CB" w:rsidRPr="003C37CB">
              <w:rPr>
                <w:rFonts w:ascii="Times New Roman" w:hAnsi="Times New Roman"/>
                <w:color w:val="000000"/>
              </w:rPr>
              <w:t xml:space="preserve"> Żywiec.</w:t>
            </w:r>
          </w:p>
          <w:p w:rsidR="009F78EA" w:rsidRDefault="009F78EA" w:rsidP="005B44B8">
            <w:pPr>
              <w:spacing w:line="240" w:lineRule="auto"/>
              <w:jc w:val="both"/>
              <w:rPr>
                <w:rFonts w:ascii="Times New Roman" w:hAnsi="Times New Roman"/>
                <w:color w:val="000000"/>
              </w:rPr>
            </w:pPr>
          </w:p>
          <w:p w:rsidR="00AD30FA" w:rsidRDefault="003C37CB" w:rsidP="005B44B8">
            <w:pPr>
              <w:spacing w:line="240" w:lineRule="auto"/>
              <w:jc w:val="both"/>
              <w:rPr>
                <w:rFonts w:ascii="Times New Roman" w:hAnsi="Times New Roman"/>
                <w:color w:val="000000"/>
              </w:rPr>
            </w:pPr>
            <w:r w:rsidRPr="003C37CB">
              <w:rPr>
                <w:rFonts w:ascii="Times New Roman" w:hAnsi="Times New Roman"/>
                <w:color w:val="000000"/>
              </w:rPr>
              <w:t>Mimo ww. grupy gmin uczestniczących/zainteresowanych Programem, proces realizacji Programu nie może być w pełni zadowalający, a liczba ww. gmin nie pozwoli na pełne wykorzystanie środków przeznaczonych na realizację Programu. Kolejne spotkania z gminami oraz oficjalna korespondencja kierowana do MPiT/MR oraz wnioski z bieżącej pracy zespołu zarządzającego Programem, doprowadziły do wniosku o konieczności przeprowadzenia zmian w Programie mające na celu dostosowanie zasad uczestnictwa i jego realizacji do bieżących uwarunkowań, w tym zwiększenie atrakcyjności Programu dla gmin.</w:t>
            </w:r>
          </w:p>
          <w:p w:rsidR="009F78EA" w:rsidRDefault="009F78EA" w:rsidP="005B44B8">
            <w:pPr>
              <w:spacing w:line="240" w:lineRule="auto"/>
              <w:jc w:val="both"/>
              <w:rPr>
                <w:rFonts w:ascii="Times New Roman" w:hAnsi="Times New Roman"/>
                <w:u w:val="single"/>
              </w:rPr>
            </w:pPr>
          </w:p>
          <w:p w:rsidR="002B23BA" w:rsidRDefault="00A80B50" w:rsidP="005B44B8">
            <w:pPr>
              <w:spacing w:line="240" w:lineRule="auto"/>
              <w:jc w:val="both"/>
              <w:rPr>
                <w:rFonts w:ascii="Times New Roman" w:hAnsi="Times New Roman"/>
                <w:color w:val="000000"/>
                <w:u w:val="single"/>
              </w:rPr>
            </w:pPr>
            <w:r w:rsidRPr="00FD31C4">
              <w:rPr>
                <w:rFonts w:ascii="Times New Roman" w:hAnsi="Times New Roman"/>
                <w:u w:val="single"/>
              </w:rPr>
              <w:t>R</w:t>
            </w:r>
            <w:r w:rsidRPr="00FD31C4">
              <w:rPr>
                <w:rFonts w:ascii="Times New Roman" w:hAnsi="Times New Roman"/>
                <w:color w:val="000000"/>
                <w:u w:val="single"/>
              </w:rPr>
              <w:t>ządowy program priorytetowy „Czyste Powietrze”</w:t>
            </w:r>
          </w:p>
          <w:p w:rsidR="00821F99" w:rsidRDefault="00821F99" w:rsidP="005B44B8">
            <w:pPr>
              <w:spacing w:line="240" w:lineRule="auto"/>
              <w:jc w:val="both"/>
              <w:rPr>
                <w:rFonts w:ascii="Times New Roman" w:hAnsi="Times New Roman"/>
                <w:color w:val="000000"/>
                <w:u w:val="single"/>
              </w:rPr>
            </w:pPr>
          </w:p>
          <w:p w:rsidR="00494C03" w:rsidRPr="00FD31C4" w:rsidRDefault="00821F99" w:rsidP="005B44B8">
            <w:pPr>
              <w:spacing w:line="240" w:lineRule="auto"/>
              <w:jc w:val="both"/>
              <w:rPr>
                <w:rFonts w:ascii="Times New Roman" w:hAnsi="Times New Roman"/>
                <w:color w:val="000000"/>
              </w:rPr>
            </w:pPr>
            <w:r w:rsidRPr="00FD31C4">
              <w:rPr>
                <w:rFonts w:ascii="Times New Roman" w:hAnsi="Times New Roman"/>
                <w:color w:val="000000"/>
              </w:rPr>
              <w:t>Celem programu</w:t>
            </w:r>
            <w:r w:rsidR="00814DF9" w:rsidRPr="00FD31C4">
              <w:rPr>
                <w:rFonts w:ascii="Times New Roman" w:hAnsi="Times New Roman"/>
                <w:color w:val="000000"/>
              </w:rPr>
              <w:t xml:space="preserve"> „Czyste powietrze” </w:t>
            </w:r>
            <w:r w:rsidRPr="00FD31C4">
              <w:rPr>
                <w:rFonts w:ascii="Times New Roman" w:hAnsi="Times New Roman"/>
                <w:color w:val="000000"/>
              </w:rPr>
              <w:t>jest zwiększenie efektywności energetycznej jednorodzinnych budynków mieszkalnych oraz zmniejszenie emisji pyłów i innych zanieczyszczeń wprowadzanych do atmosfery przez jednorodzinne budynki mieszkalne poprzez wymianę starych, nieefektywnych urządzeń grzewczych na paliwa stałe oraz przeprowadzenie termomodernizacji tych budynków.</w:t>
            </w:r>
            <w:r w:rsidR="00494C03">
              <w:rPr>
                <w:rFonts w:ascii="Times New Roman" w:hAnsi="Times New Roman"/>
                <w:color w:val="000000"/>
              </w:rPr>
              <w:t xml:space="preserve"> </w:t>
            </w:r>
            <w:r w:rsidRPr="00FD31C4">
              <w:rPr>
                <w:rFonts w:ascii="Times New Roman" w:hAnsi="Times New Roman"/>
                <w:color w:val="000000"/>
              </w:rPr>
              <w:t>Program skierowany jest do właścicieli domów jednoro</w:t>
            </w:r>
            <w:r w:rsidR="00494C03" w:rsidRPr="00FD31C4">
              <w:rPr>
                <w:rFonts w:ascii="Times New Roman" w:hAnsi="Times New Roman"/>
                <w:color w:val="000000"/>
              </w:rPr>
              <w:t>dzinnych. P</w:t>
            </w:r>
            <w:r w:rsidRPr="00FD31C4">
              <w:rPr>
                <w:rFonts w:ascii="Times New Roman" w:hAnsi="Times New Roman"/>
                <w:color w:val="000000"/>
              </w:rPr>
              <w:t>rzewi</w:t>
            </w:r>
            <w:r w:rsidR="00814DF9" w:rsidRPr="00FD31C4">
              <w:rPr>
                <w:rFonts w:ascii="Times New Roman" w:hAnsi="Times New Roman"/>
                <w:color w:val="000000"/>
              </w:rPr>
              <w:t>duje</w:t>
            </w:r>
            <w:r w:rsidR="00494C03" w:rsidRPr="00FD31C4">
              <w:rPr>
                <w:rFonts w:ascii="Times New Roman" w:hAnsi="Times New Roman"/>
                <w:color w:val="000000"/>
              </w:rPr>
              <w:t xml:space="preserve"> się, że </w:t>
            </w:r>
            <w:r w:rsidR="00494C03">
              <w:rPr>
                <w:rFonts w:ascii="Times New Roman" w:hAnsi="Times New Roman"/>
                <w:color w:val="000000"/>
              </w:rPr>
              <w:t xml:space="preserve">dofinansowanie w ramach programu </w:t>
            </w:r>
            <w:r w:rsidR="00494C03" w:rsidRPr="00BE4A1C">
              <w:rPr>
                <w:rFonts w:ascii="Times New Roman" w:hAnsi="Times New Roman"/>
                <w:color w:val="000000"/>
              </w:rPr>
              <w:t>obejmie około 3 mln budynków</w:t>
            </w:r>
            <w:r w:rsidR="00494C03">
              <w:rPr>
                <w:rFonts w:ascii="Times New Roman" w:hAnsi="Times New Roman"/>
                <w:color w:val="000000"/>
              </w:rPr>
              <w:t xml:space="preserve">, w których nastąpi </w:t>
            </w:r>
            <w:r w:rsidR="00494C03" w:rsidRPr="00FD31C4">
              <w:rPr>
                <w:rFonts w:ascii="Times New Roman" w:hAnsi="Times New Roman"/>
                <w:color w:val="000000"/>
              </w:rPr>
              <w:t>wymiana nieefektywnych źródeł ciepła na niskoemisyjne</w:t>
            </w:r>
            <w:r w:rsidR="00494C03" w:rsidRPr="00D50257">
              <w:rPr>
                <w:rFonts w:ascii="Times New Roman" w:hAnsi="Times New Roman"/>
                <w:color w:val="000000"/>
              </w:rPr>
              <w:t>.</w:t>
            </w:r>
          </w:p>
          <w:p w:rsidR="00494C03" w:rsidRPr="00FD31C4" w:rsidRDefault="00494C03" w:rsidP="005B44B8">
            <w:pPr>
              <w:spacing w:line="240" w:lineRule="auto"/>
              <w:jc w:val="both"/>
              <w:rPr>
                <w:rFonts w:ascii="Times New Roman" w:hAnsi="Times New Roman"/>
                <w:color w:val="000000"/>
              </w:rPr>
            </w:pPr>
          </w:p>
          <w:p w:rsidR="00494C03" w:rsidRPr="00FD31C4" w:rsidRDefault="00814DF9" w:rsidP="005B44B8">
            <w:pPr>
              <w:spacing w:line="240" w:lineRule="auto"/>
              <w:jc w:val="both"/>
              <w:rPr>
                <w:rFonts w:ascii="Times New Roman" w:hAnsi="Times New Roman"/>
                <w:color w:val="000000"/>
              </w:rPr>
            </w:pPr>
            <w:r w:rsidRPr="00FD31C4">
              <w:rPr>
                <w:rFonts w:ascii="Times New Roman" w:hAnsi="Times New Roman"/>
                <w:color w:val="000000"/>
              </w:rPr>
              <w:t>Program jest zarządzany przez Narodowy Fundusz Ochrony Środowiska i Gospodarki Wodnej (NFOŚiGW) i realizowany przez 16 wojewódzkich funduszy ochrony środowiska i gospodarki wodnej (</w:t>
            </w:r>
            <w:r w:rsidR="00D40927">
              <w:rPr>
                <w:rFonts w:ascii="Times New Roman" w:hAnsi="Times New Roman"/>
                <w:color w:val="000000"/>
              </w:rPr>
              <w:t>WFOŚiGW</w:t>
            </w:r>
            <w:r w:rsidRPr="00FD31C4">
              <w:rPr>
                <w:rFonts w:ascii="Times New Roman" w:hAnsi="Times New Roman"/>
                <w:color w:val="000000"/>
              </w:rPr>
              <w:t xml:space="preserve">). </w:t>
            </w:r>
            <w:r w:rsidR="00821F99" w:rsidRPr="00FD31C4">
              <w:rPr>
                <w:rFonts w:ascii="Times New Roman" w:hAnsi="Times New Roman"/>
                <w:color w:val="000000"/>
              </w:rPr>
              <w:t>Założony bud</w:t>
            </w:r>
            <w:r w:rsidRPr="00FD31C4">
              <w:rPr>
                <w:rFonts w:ascii="Times New Roman" w:hAnsi="Times New Roman"/>
                <w:color w:val="000000"/>
              </w:rPr>
              <w:t>żet programu na lata 2018-2029</w:t>
            </w:r>
            <w:r w:rsidR="00821F99" w:rsidRPr="00FD31C4">
              <w:rPr>
                <w:rFonts w:ascii="Times New Roman" w:hAnsi="Times New Roman"/>
                <w:color w:val="000000"/>
              </w:rPr>
              <w:t xml:space="preserve"> wynosi 103 mld złotych</w:t>
            </w:r>
            <w:r w:rsidR="00494C03">
              <w:rPr>
                <w:rFonts w:ascii="Times New Roman" w:hAnsi="Times New Roman"/>
                <w:color w:val="000000"/>
              </w:rPr>
              <w:t xml:space="preserve">, zaś </w:t>
            </w:r>
            <w:r w:rsidR="00821F99" w:rsidRPr="00FD31C4">
              <w:rPr>
                <w:rFonts w:ascii="Times New Roman" w:hAnsi="Times New Roman"/>
                <w:color w:val="000000"/>
              </w:rPr>
              <w:t>środk</w:t>
            </w:r>
            <w:r w:rsidR="00494C03">
              <w:rPr>
                <w:rFonts w:ascii="Times New Roman" w:hAnsi="Times New Roman"/>
                <w:color w:val="000000"/>
              </w:rPr>
              <w:t xml:space="preserve">i </w:t>
            </w:r>
            <w:r w:rsidR="00D564DF">
              <w:rPr>
                <w:rFonts w:ascii="Times New Roman" w:hAnsi="Times New Roman"/>
                <w:color w:val="000000"/>
              </w:rPr>
              <w:t>pochodzą</w:t>
            </w:r>
            <w:r w:rsidR="001859EE">
              <w:rPr>
                <w:rFonts w:ascii="Times New Roman" w:hAnsi="Times New Roman"/>
                <w:color w:val="000000"/>
              </w:rPr>
              <w:t xml:space="preserve"> </w:t>
            </w:r>
            <w:r w:rsidR="00494C03">
              <w:rPr>
                <w:rFonts w:ascii="Times New Roman" w:hAnsi="Times New Roman"/>
                <w:color w:val="000000"/>
              </w:rPr>
              <w:t xml:space="preserve">z </w:t>
            </w:r>
            <w:r w:rsidR="00821F99" w:rsidRPr="00FD31C4">
              <w:rPr>
                <w:rFonts w:ascii="Times New Roman" w:hAnsi="Times New Roman"/>
                <w:color w:val="000000"/>
              </w:rPr>
              <w:t xml:space="preserve">NFOŚiGW i </w:t>
            </w:r>
            <w:r w:rsidR="00BF354F">
              <w:rPr>
                <w:rFonts w:ascii="Times New Roman" w:hAnsi="Times New Roman"/>
                <w:color w:val="000000"/>
              </w:rPr>
              <w:t>WFOŚiGW</w:t>
            </w:r>
            <w:r w:rsidR="00821F99" w:rsidRPr="00FD31C4">
              <w:rPr>
                <w:rFonts w:ascii="Times New Roman" w:hAnsi="Times New Roman"/>
                <w:color w:val="000000"/>
              </w:rPr>
              <w:t xml:space="preserve">. </w:t>
            </w:r>
            <w:r w:rsidR="00494C03" w:rsidRPr="00FD31C4">
              <w:rPr>
                <w:rFonts w:ascii="Times New Roman" w:hAnsi="Times New Roman"/>
                <w:color w:val="000000"/>
              </w:rPr>
              <w:t xml:space="preserve">Dofinansowanie </w:t>
            </w:r>
            <w:r w:rsidR="00D564DF">
              <w:rPr>
                <w:rFonts w:ascii="Times New Roman" w:hAnsi="Times New Roman"/>
                <w:color w:val="000000"/>
              </w:rPr>
              <w:t xml:space="preserve">w ramach programu </w:t>
            </w:r>
            <w:r w:rsidR="00494C03" w:rsidRPr="00FD31C4">
              <w:rPr>
                <w:rFonts w:ascii="Times New Roman" w:hAnsi="Times New Roman"/>
                <w:color w:val="000000"/>
              </w:rPr>
              <w:t xml:space="preserve">odbywa się w formie dotacji lub pożyczki, z uwzględnieniem dochodów gospodarstwa domowego </w:t>
            </w:r>
            <w:r w:rsidR="00D40927">
              <w:rPr>
                <w:rFonts w:ascii="Times New Roman" w:hAnsi="Times New Roman"/>
                <w:color w:val="000000"/>
              </w:rPr>
              <w:t>(</w:t>
            </w:r>
            <w:r w:rsidR="00494C03" w:rsidRPr="00FD31C4">
              <w:rPr>
                <w:rFonts w:ascii="Times New Roman" w:hAnsi="Times New Roman"/>
                <w:color w:val="000000"/>
              </w:rPr>
              <w:t xml:space="preserve">w celu </w:t>
            </w:r>
            <w:r w:rsidR="00BF354F">
              <w:rPr>
                <w:rFonts w:ascii="Times New Roman" w:hAnsi="Times New Roman"/>
                <w:color w:val="000000"/>
              </w:rPr>
              <w:t xml:space="preserve">zapewnienia </w:t>
            </w:r>
            <w:r w:rsidR="00D564DF">
              <w:rPr>
                <w:rFonts w:ascii="Times New Roman" w:hAnsi="Times New Roman"/>
                <w:color w:val="000000"/>
              </w:rPr>
              <w:t xml:space="preserve">jego </w:t>
            </w:r>
            <w:r w:rsidR="00494C03" w:rsidRPr="00FD31C4">
              <w:rPr>
                <w:rFonts w:ascii="Times New Roman" w:hAnsi="Times New Roman"/>
                <w:color w:val="000000"/>
              </w:rPr>
              <w:t>dostępu do mniej zamożnej części społeczeństwa</w:t>
            </w:r>
            <w:r w:rsidR="00D40927">
              <w:rPr>
                <w:rFonts w:ascii="Times New Roman" w:hAnsi="Times New Roman"/>
                <w:color w:val="000000"/>
              </w:rPr>
              <w:t>)</w:t>
            </w:r>
            <w:r w:rsidR="00494C03" w:rsidRPr="00FD31C4">
              <w:rPr>
                <w:rFonts w:ascii="Times New Roman" w:hAnsi="Times New Roman"/>
                <w:color w:val="000000"/>
              </w:rPr>
              <w:t>.</w:t>
            </w:r>
          </w:p>
          <w:p w:rsidR="00821F99" w:rsidRPr="00FD31C4" w:rsidRDefault="00821F99" w:rsidP="005B44B8">
            <w:pPr>
              <w:spacing w:line="240" w:lineRule="auto"/>
              <w:jc w:val="both"/>
              <w:rPr>
                <w:rFonts w:ascii="Times New Roman" w:hAnsi="Times New Roman"/>
                <w:color w:val="000000"/>
              </w:rPr>
            </w:pPr>
          </w:p>
          <w:p w:rsidR="00814DF9" w:rsidRPr="00FD31C4" w:rsidRDefault="00814DF9" w:rsidP="005B44B8">
            <w:pPr>
              <w:spacing w:line="240" w:lineRule="auto"/>
              <w:jc w:val="both"/>
              <w:rPr>
                <w:rFonts w:ascii="Times New Roman" w:hAnsi="Times New Roman"/>
                <w:color w:val="000000"/>
              </w:rPr>
            </w:pPr>
            <w:r w:rsidRPr="00FD31C4">
              <w:rPr>
                <w:rFonts w:ascii="Times New Roman" w:hAnsi="Times New Roman"/>
                <w:color w:val="000000"/>
              </w:rPr>
              <w:t xml:space="preserve">Wnioski </w:t>
            </w:r>
            <w:r w:rsidR="00494C03" w:rsidRPr="00FD31C4">
              <w:rPr>
                <w:rFonts w:ascii="Times New Roman" w:hAnsi="Times New Roman"/>
                <w:color w:val="000000"/>
              </w:rPr>
              <w:t xml:space="preserve">o dofinansowanie są </w:t>
            </w:r>
            <w:r w:rsidR="00D564DF" w:rsidRPr="00FD31C4">
              <w:rPr>
                <w:rFonts w:ascii="Times New Roman" w:hAnsi="Times New Roman"/>
                <w:color w:val="000000"/>
              </w:rPr>
              <w:t xml:space="preserve">składane i </w:t>
            </w:r>
            <w:r w:rsidR="00494C03" w:rsidRPr="00FD31C4">
              <w:rPr>
                <w:rFonts w:ascii="Times New Roman" w:hAnsi="Times New Roman"/>
                <w:color w:val="000000"/>
              </w:rPr>
              <w:t>obsługiwane</w:t>
            </w:r>
            <w:r w:rsidRPr="00FD31C4">
              <w:rPr>
                <w:rFonts w:ascii="Times New Roman" w:hAnsi="Times New Roman"/>
                <w:color w:val="000000"/>
              </w:rPr>
              <w:t xml:space="preserve"> </w:t>
            </w:r>
            <w:r w:rsidR="00494C03" w:rsidRPr="00FD31C4">
              <w:rPr>
                <w:rFonts w:ascii="Times New Roman" w:hAnsi="Times New Roman"/>
                <w:color w:val="000000"/>
              </w:rPr>
              <w:t xml:space="preserve">przez </w:t>
            </w:r>
            <w:r w:rsidR="00BF354F">
              <w:rPr>
                <w:rFonts w:ascii="Times New Roman" w:hAnsi="Times New Roman"/>
                <w:color w:val="000000"/>
              </w:rPr>
              <w:t>WFOŚiGW</w:t>
            </w:r>
            <w:r w:rsidR="00D564DF" w:rsidRPr="00FD31C4">
              <w:rPr>
                <w:rFonts w:ascii="Times New Roman" w:hAnsi="Times New Roman"/>
                <w:color w:val="000000"/>
              </w:rPr>
              <w:t>,</w:t>
            </w:r>
            <w:r w:rsidRPr="00FD31C4">
              <w:rPr>
                <w:rFonts w:ascii="Times New Roman" w:hAnsi="Times New Roman"/>
                <w:color w:val="000000"/>
              </w:rPr>
              <w:t xml:space="preserve"> właściw</w:t>
            </w:r>
            <w:r w:rsidR="00494C03" w:rsidRPr="00FD31C4">
              <w:rPr>
                <w:rFonts w:ascii="Times New Roman" w:hAnsi="Times New Roman"/>
                <w:color w:val="000000"/>
              </w:rPr>
              <w:t>e</w:t>
            </w:r>
            <w:r w:rsidRPr="00FD31C4">
              <w:rPr>
                <w:rFonts w:ascii="Times New Roman" w:hAnsi="Times New Roman"/>
                <w:color w:val="000000"/>
              </w:rPr>
              <w:t xml:space="preserve"> ze względu na </w:t>
            </w:r>
            <w:r w:rsidR="00494C03" w:rsidRPr="00FD31C4">
              <w:rPr>
                <w:rFonts w:ascii="Times New Roman" w:hAnsi="Times New Roman"/>
                <w:color w:val="000000"/>
              </w:rPr>
              <w:t xml:space="preserve">lokalizację </w:t>
            </w:r>
            <w:r w:rsidRPr="00FD31C4">
              <w:rPr>
                <w:rFonts w:ascii="Times New Roman" w:hAnsi="Times New Roman"/>
                <w:color w:val="000000"/>
              </w:rPr>
              <w:t>budynku</w:t>
            </w:r>
            <w:r w:rsidR="00494C03" w:rsidRPr="00FD31C4">
              <w:rPr>
                <w:rFonts w:ascii="Times New Roman" w:hAnsi="Times New Roman"/>
                <w:color w:val="000000"/>
              </w:rPr>
              <w:t xml:space="preserve"> mieszkalnego. </w:t>
            </w:r>
            <w:r w:rsidR="00D564DF" w:rsidRPr="00FD31C4">
              <w:rPr>
                <w:rFonts w:ascii="Times New Roman" w:hAnsi="Times New Roman"/>
                <w:color w:val="000000"/>
              </w:rPr>
              <w:t xml:space="preserve">Dodatkowo na skutek wprowadzonych zmian w programie </w:t>
            </w:r>
            <w:r w:rsidR="00D40927" w:rsidRPr="00FD31C4">
              <w:rPr>
                <w:rFonts w:ascii="Times New Roman" w:hAnsi="Times New Roman"/>
                <w:color w:val="000000"/>
              </w:rPr>
              <w:t xml:space="preserve">wnioski </w:t>
            </w:r>
            <w:r w:rsidR="00D564DF" w:rsidRPr="00FD31C4">
              <w:rPr>
                <w:rFonts w:ascii="Times New Roman" w:hAnsi="Times New Roman"/>
                <w:color w:val="000000"/>
              </w:rPr>
              <w:t xml:space="preserve">można </w:t>
            </w:r>
            <w:r w:rsidR="00494C03" w:rsidRPr="00FD31C4">
              <w:rPr>
                <w:rFonts w:ascii="Times New Roman" w:hAnsi="Times New Roman"/>
                <w:color w:val="000000"/>
              </w:rPr>
              <w:t>skład</w:t>
            </w:r>
            <w:r w:rsidR="00D564DF" w:rsidRPr="00FD31C4">
              <w:rPr>
                <w:rFonts w:ascii="Times New Roman" w:hAnsi="Times New Roman"/>
                <w:color w:val="000000"/>
              </w:rPr>
              <w:t xml:space="preserve">ać w </w:t>
            </w:r>
            <w:r w:rsidR="00494C03" w:rsidRPr="00FD31C4">
              <w:rPr>
                <w:rFonts w:ascii="Times New Roman" w:hAnsi="Times New Roman"/>
                <w:color w:val="000000"/>
              </w:rPr>
              <w:t xml:space="preserve">urzędach 650 gmin, które podpisały porozumienia o współpracy z </w:t>
            </w:r>
            <w:r w:rsidR="00D01400">
              <w:rPr>
                <w:rFonts w:ascii="Times New Roman" w:hAnsi="Times New Roman"/>
                <w:color w:val="000000"/>
              </w:rPr>
              <w:t>WFOŚiGW</w:t>
            </w:r>
            <w:r w:rsidR="00494C03" w:rsidRPr="00FD31C4">
              <w:rPr>
                <w:rFonts w:ascii="Times New Roman" w:hAnsi="Times New Roman"/>
                <w:color w:val="000000"/>
              </w:rPr>
              <w:t xml:space="preserve">. </w:t>
            </w:r>
            <w:r w:rsidR="00821F99" w:rsidRPr="00FD31C4">
              <w:rPr>
                <w:rFonts w:ascii="Times New Roman" w:hAnsi="Times New Roman"/>
                <w:color w:val="000000"/>
              </w:rPr>
              <w:t>Do dnia 2</w:t>
            </w:r>
            <w:r w:rsidRPr="00FD31C4">
              <w:rPr>
                <w:rFonts w:ascii="Times New Roman" w:hAnsi="Times New Roman"/>
                <w:color w:val="000000"/>
              </w:rPr>
              <w:t>1 lutego 2020 r.</w:t>
            </w:r>
            <w:r w:rsidR="00821F99" w:rsidRPr="00FD31C4">
              <w:rPr>
                <w:rFonts w:ascii="Times New Roman" w:hAnsi="Times New Roman"/>
                <w:color w:val="000000"/>
              </w:rPr>
              <w:t xml:space="preserve"> </w:t>
            </w:r>
            <w:r w:rsidR="00BF354F" w:rsidRPr="00D50257">
              <w:rPr>
                <w:rFonts w:ascii="Times New Roman" w:hAnsi="Times New Roman"/>
                <w:color w:val="000000"/>
              </w:rPr>
              <w:t xml:space="preserve">złożonych zostało </w:t>
            </w:r>
            <w:r w:rsidR="00821F99" w:rsidRPr="00FD31C4">
              <w:rPr>
                <w:rFonts w:ascii="Times New Roman" w:hAnsi="Times New Roman"/>
                <w:color w:val="000000"/>
              </w:rPr>
              <w:t>11</w:t>
            </w:r>
            <w:r w:rsidRPr="00FD31C4">
              <w:rPr>
                <w:rFonts w:ascii="Times New Roman" w:hAnsi="Times New Roman"/>
                <w:color w:val="000000"/>
              </w:rPr>
              <w:t>9 626 wniosków o dofinansowanie</w:t>
            </w:r>
            <w:r w:rsidR="00821F99" w:rsidRPr="00FD31C4">
              <w:rPr>
                <w:rFonts w:ascii="Times New Roman" w:hAnsi="Times New Roman"/>
                <w:color w:val="000000"/>
              </w:rPr>
              <w:t xml:space="preserve"> </w:t>
            </w:r>
            <w:r w:rsidRPr="00FD31C4">
              <w:rPr>
                <w:rFonts w:ascii="Times New Roman" w:hAnsi="Times New Roman"/>
                <w:color w:val="000000"/>
              </w:rPr>
              <w:t xml:space="preserve">na łączną kwotę 2 454,2 mln zł, </w:t>
            </w:r>
            <w:r w:rsidR="00BF354F">
              <w:rPr>
                <w:rFonts w:ascii="Times New Roman" w:hAnsi="Times New Roman"/>
                <w:color w:val="000000"/>
              </w:rPr>
              <w:t xml:space="preserve">na podstawie których </w:t>
            </w:r>
            <w:r w:rsidR="00BF354F" w:rsidRPr="00D50257">
              <w:rPr>
                <w:rFonts w:ascii="Times New Roman" w:hAnsi="Times New Roman"/>
                <w:color w:val="000000"/>
              </w:rPr>
              <w:t xml:space="preserve">podpisano </w:t>
            </w:r>
            <w:r w:rsidR="00821F99" w:rsidRPr="00FD31C4">
              <w:rPr>
                <w:rFonts w:ascii="Times New Roman" w:hAnsi="Times New Roman"/>
                <w:color w:val="000000"/>
              </w:rPr>
              <w:t xml:space="preserve">73 068 umów o dofinansowanie na łączną kwotę 1 361,5 mln zł, z tego w formie dotacji na kwotę 1 243,6 mln zł oraz w formie pożyczek na kwotę 117,9 mln zł. </w:t>
            </w:r>
          </w:p>
          <w:p w:rsidR="00814DF9" w:rsidRPr="00FD31C4" w:rsidRDefault="00814DF9" w:rsidP="005B44B8">
            <w:pPr>
              <w:spacing w:line="240" w:lineRule="auto"/>
              <w:jc w:val="both"/>
              <w:rPr>
                <w:rFonts w:ascii="Times New Roman" w:hAnsi="Times New Roman"/>
                <w:color w:val="000000"/>
              </w:rPr>
            </w:pPr>
          </w:p>
          <w:p w:rsidR="00AD30FA" w:rsidRPr="00B37C80" w:rsidRDefault="00D564DF" w:rsidP="005B44B8">
            <w:pPr>
              <w:spacing w:line="240" w:lineRule="auto"/>
              <w:jc w:val="both"/>
              <w:rPr>
                <w:rFonts w:ascii="Times New Roman" w:hAnsi="Times New Roman"/>
                <w:color w:val="000000"/>
              </w:rPr>
            </w:pPr>
            <w:r>
              <w:rPr>
                <w:rFonts w:ascii="Times New Roman" w:hAnsi="Times New Roman"/>
                <w:color w:val="000000"/>
              </w:rPr>
              <w:t xml:space="preserve">Proponowane zmiany mają na celu </w:t>
            </w:r>
            <w:r w:rsidRPr="00D564DF">
              <w:rPr>
                <w:rFonts w:ascii="Times New Roman" w:hAnsi="Times New Roman"/>
                <w:color w:val="000000"/>
              </w:rPr>
              <w:t>przyspieszeni</w:t>
            </w:r>
            <w:r>
              <w:rPr>
                <w:rFonts w:ascii="Times New Roman" w:hAnsi="Times New Roman"/>
                <w:color w:val="000000"/>
              </w:rPr>
              <w:t>e</w:t>
            </w:r>
            <w:r w:rsidRPr="00D564DF">
              <w:rPr>
                <w:rFonts w:ascii="Times New Roman" w:hAnsi="Times New Roman"/>
                <w:color w:val="000000"/>
              </w:rPr>
              <w:t xml:space="preserve"> tempa realizacji </w:t>
            </w:r>
            <w:r>
              <w:rPr>
                <w:rFonts w:ascii="Times New Roman" w:hAnsi="Times New Roman"/>
                <w:color w:val="000000"/>
              </w:rPr>
              <w:t xml:space="preserve">programu. Uwzględniają </w:t>
            </w:r>
            <w:r w:rsidR="00D40927">
              <w:rPr>
                <w:rFonts w:ascii="Times New Roman" w:hAnsi="Times New Roman"/>
                <w:color w:val="000000"/>
              </w:rPr>
              <w:t xml:space="preserve">one </w:t>
            </w:r>
            <w:r>
              <w:rPr>
                <w:rFonts w:ascii="Times New Roman" w:hAnsi="Times New Roman"/>
                <w:color w:val="000000"/>
              </w:rPr>
              <w:t xml:space="preserve">wyniki </w:t>
            </w:r>
            <w:r w:rsidR="00D40927">
              <w:rPr>
                <w:rFonts w:ascii="Times New Roman" w:hAnsi="Times New Roman"/>
                <w:color w:val="000000"/>
              </w:rPr>
              <w:t xml:space="preserve">dokonanego </w:t>
            </w:r>
            <w:r>
              <w:rPr>
                <w:rFonts w:ascii="Times New Roman" w:hAnsi="Times New Roman"/>
                <w:color w:val="000000"/>
              </w:rPr>
              <w:t xml:space="preserve">na </w:t>
            </w:r>
            <w:r w:rsidR="00814DF9" w:rsidRPr="00FD31C4">
              <w:rPr>
                <w:rFonts w:ascii="Times New Roman" w:hAnsi="Times New Roman"/>
                <w:color w:val="000000"/>
              </w:rPr>
              <w:t>przełomie 2019 i 2020 r.</w:t>
            </w:r>
            <w:r>
              <w:rPr>
                <w:rFonts w:ascii="Times New Roman" w:hAnsi="Times New Roman"/>
                <w:color w:val="000000"/>
              </w:rPr>
              <w:t xml:space="preserve"> </w:t>
            </w:r>
            <w:r w:rsidR="00BF354F">
              <w:rPr>
                <w:rFonts w:ascii="Times New Roman" w:hAnsi="Times New Roman"/>
                <w:color w:val="000000"/>
              </w:rPr>
              <w:t xml:space="preserve">przeglądu programu </w:t>
            </w:r>
            <w:r>
              <w:rPr>
                <w:rFonts w:ascii="Times New Roman" w:hAnsi="Times New Roman"/>
                <w:color w:val="000000"/>
              </w:rPr>
              <w:t xml:space="preserve">oraz przeprowadzone </w:t>
            </w:r>
            <w:r w:rsidR="00821F99" w:rsidRPr="00FD31C4">
              <w:rPr>
                <w:rFonts w:ascii="Times New Roman" w:hAnsi="Times New Roman"/>
                <w:color w:val="000000"/>
              </w:rPr>
              <w:t>konsultacje społeczn</w:t>
            </w:r>
            <w:r>
              <w:rPr>
                <w:rFonts w:ascii="Times New Roman" w:hAnsi="Times New Roman"/>
                <w:color w:val="000000"/>
              </w:rPr>
              <w:t xml:space="preserve">e, m.in. w zakresie </w:t>
            </w:r>
            <w:r w:rsidR="00821F99" w:rsidRPr="00FD31C4">
              <w:rPr>
                <w:rFonts w:ascii="Times New Roman" w:hAnsi="Times New Roman"/>
                <w:color w:val="000000"/>
              </w:rPr>
              <w:t xml:space="preserve">instrumentu pożyczkowego oraz </w:t>
            </w:r>
            <w:r w:rsidR="00BF354F">
              <w:rPr>
                <w:rFonts w:ascii="Times New Roman" w:hAnsi="Times New Roman"/>
                <w:color w:val="000000"/>
              </w:rPr>
              <w:t xml:space="preserve">możliwości </w:t>
            </w:r>
            <w:r w:rsidRPr="00D50257">
              <w:rPr>
                <w:rFonts w:ascii="Times New Roman" w:hAnsi="Times New Roman"/>
                <w:color w:val="000000"/>
              </w:rPr>
              <w:t>zaangażowania</w:t>
            </w:r>
            <w:r w:rsidR="00821F99" w:rsidRPr="00FD31C4">
              <w:rPr>
                <w:rFonts w:ascii="Times New Roman" w:hAnsi="Times New Roman"/>
                <w:color w:val="000000"/>
              </w:rPr>
              <w:t xml:space="preserve"> sektora bankowego. </w:t>
            </w:r>
          </w:p>
        </w:tc>
      </w:tr>
      <w:tr w:rsidR="006A701A" w:rsidRPr="008B4FE6" w:rsidTr="00481F21">
        <w:trPr>
          <w:trHeight w:val="142"/>
        </w:trPr>
        <w:tc>
          <w:tcPr>
            <w:tcW w:w="10947" w:type="dxa"/>
            <w:gridSpan w:val="17"/>
            <w:shd w:val="clear" w:color="auto" w:fill="99CCFF"/>
            <w:vAlign w:val="center"/>
          </w:tcPr>
          <w:p w:rsidR="006A701A" w:rsidRPr="008B4FE6" w:rsidRDefault="0013216E" w:rsidP="00C53F26">
            <w:pPr>
              <w:numPr>
                <w:ilvl w:val="0"/>
                <w:numId w:val="3"/>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6A701A" w:rsidRPr="008B4FE6" w:rsidTr="00481F21">
        <w:trPr>
          <w:trHeight w:val="142"/>
        </w:trPr>
        <w:tc>
          <w:tcPr>
            <w:tcW w:w="10947" w:type="dxa"/>
            <w:gridSpan w:val="17"/>
            <w:shd w:val="clear" w:color="auto" w:fill="auto"/>
          </w:tcPr>
          <w:p w:rsidR="00A80B50" w:rsidRDefault="0014005C" w:rsidP="00A36AA4">
            <w:pPr>
              <w:spacing w:line="240" w:lineRule="auto"/>
              <w:jc w:val="both"/>
              <w:rPr>
                <w:rFonts w:ascii="Times New Roman" w:hAnsi="Times New Roman"/>
              </w:rPr>
            </w:pPr>
            <w:r w:rsidRPr="0014005C">
              <w:rPr>
                <w:rFonts w:ascii="Times New Roman" w:hAnsi="Times New Roman"/>
              </w:rPr>
              <w:t>Propozycje zawarte w niniejsz</w:t>
            </w:r>
            <w:r w:rsidR="00A36AA4">
              <w:rPr>
                <w:rFonts w:ascii="Times New Roman" w:hAnsi="Times New Roman"/>
              </w:rPr>
              <w:t>ej regulacji</w:t>
            </w:r>
            <w:r w:rsidRPr="0014005C">
              <w:rPr>
                <w:rFonts w:ascii="Times New Roman" w:hAnsi="Times New Roman"/>
              </w:rPr>
              <w:t>, obejmują więc</w:t>
            </w:r>
            <w:r w:rsidR="00A80B50">
              <w:rPr>
                <w:rFonts w:ascii="Times New Roman" w:hAnsi="Times New Roman"/>
              </w:rPr>
              <w:t>:</w:t>
            </w:r>
            <w:r w:rsidRPr="0014005C">
              <w:rPr>
                <w:rFonts w:ascii="Times New Roman" w:hAnsi="Times New Roman"/>
              </w:rPr>
              <w:t xml:space="preserve"> </w:t>
            </w:r>
          </w:p>
          <w:p w:rsidR="00D94839" w:rsidRPr="00DE381F" w:rsidRDefault="00D01400" w:rsidP="00481F21">
            <w:pPr>
              <w:pStyle w:val="Akapitzlist"/>
              <w:numPr>
                <w:ilvl w:val="0"/>
                <w:numId w:val="35"/>
              </w:numPr>
              <w:spacing w:line="240" w:lineRule="auto"/>
              <w:jc w:val="both"/>
              <w:rPr>
                <w:rFonts w:ascii="Times New Roman" w:hAnsi="Times New Roman"/>
              </w:rPr>
            </w:pPr>
            <w:r>
              <w:rPr>
                <w:rFonts w:ascii="Times New Roman" w:hAnsi="Times New Roman"/>
              </w:rPr>
              <w:t>u</w:t>
            </w:r>
            <w:r w:rsidRPr="009A3181">
              <w:rPr>
                <w:rFonts w:ascii="Times New Roman" w:hAnsi="Times New Roman"/>
              </w:rPr>
              <w:t>ruchomienie</w:t>
            </w:r>
            <w:r w:rsidR="0014005C" w:rsidRPr="00DE381F">
              <w:rPr>
                <w:rFonts w:ascii="Times New Roman" w:hAnsi="Times New Roman"/>
              </w:rPr>
              <w:t xml:space="preserve"> systemu informatycznego, służącego do </w:t>
            </w:r>
            <w:r w:rsidR="008D18B0" w:rsidRPr="00DE381F">
              <w:rPr>
                <w:rFonts w:ascii="Times New Roman" w:hAnsi="Times New Roman"/>
              </w:rPr>
              <w:t>obsługi</w:t>
            </w:r>
            <w:r w:rsidR="0014005C" w:rsidRPr="009F78EA">
              <w:rPr>
                <w:rFonts w:ascii="Times New Roman" w:hAnsi="Times New Roman"/>
              </w:rPr>
              <w:t xml:space="preserve"> </w:t>
            </w:r>
            <w:r w:rsidR="009D7611" w:rsidRPr="009F78EA">
              <w:rPr>
                <w:rFonts w:ascii="Times New Roman" w:hAnsi="Times New Roman"/>
              </w:rPr>
              <w:t xml:space="preserve">CEEB </w:t>
            </w:r>
            <w:r w:rsidR="008649EF" w:rsidRPr="00DE381F">
              <w:rPr>
                <w:rFonts w:ascii="Times New Roman" w:hAnsi="Times New Roman"/>
              </w:rPr>
              <w:t xml:space="preserve">i </w:t>
            </w:r>
            <w:r w:rsidR="008D18B0" w:rsidRPr="00DE381F">
              <w:rPr>
                <w:rFonts w:ascii="Times New Roman" w:hAnsi="Times New Roman"/>
              </w:rPr>
              <w:t>świadczenia e-usług dla obywateli</w:t>
            </w:r>
            <w:r w:rsidR="0014005C" w:rsidRPr="00DE381F">
              <w:rPr>
                <w:rFonts w:ascii="Times New Roman" w:hAnsi="Times New Roman"/>
              </w:rPr>
              <w:t>, jako systemu inwentaryzacyjnego wspomagającego polityki i programy ograniczenia niskiej emisji</w:t>
            </w:r>
            <w:r w:rsidR="00A80B50" w:rsidRPr="009A3181">
              <w:rPr>
                <w:rFonts w:ascii="Times New Roman" w:hAnsi="Times New Roman"/>
              </w:rPr>
              <w:t>;</w:t>
            </w:r>
          </w:p>
          <w:p w:rsidR="00A80B50" w:rsidRPr="009A3181" w:rsidRDefault="00D01400" w:rsidP="009A3181">
            <w:pPr>
              <w:pStyle w:val="Akapitzlist"/>
              <w:numPr>
                <w:ilvl w:val="0"/>
                <w:numId w:val="35"/>
              </w:numPr>
              <w:spacing w:line="240" w:lineRule="auto"/>
              <w:jc w:val="both"/>
              <w:rPr>
                <w:rFonts w:ascii="Times New Roman" w:hAnsi="Times New Roman"/>
              </w:rPr>
            </w:pPr>
            <w:r>
              <w:rPr>
                <w:rFonts w:ascii="Times New Roman" w:hAnsi="Times New Roman"/>
              </w:rPr>
              <w:t>d</w:t>
            </w:r>
            <w:r w:rsidRPr="009A3181">
              <w:rPr>
                <w:rFonts w:ascii="Times New Roman" w:hAnsi="Times New Roman"/>
              </w:rPr>
              <w:t xml:space="preserve">ostosowanie </w:t>
            </w:r>
            <w:r w:rsidR="00283B48" w:rsidRPr="009A3181">
              <w:rPr>
                <w:rFonts w:ascii="Times New Roman" w:hAnsi="Times New Roman"/>
              </w:rPr>
              <w:t>do bieżących uwarunkowań</w:t>
            </w:r>
            <w:r w:rsidR="00D94839" w:rsidRPr="009A3181">
              <w:rPr>
                <w:rFonts w:ascii="Times New Roman" w:hAnsi="Times New Roman"/>
              </w:rPr>
              <w:t xml:space="preserve"> </w:t>
            </w:r>
            <w:r w:rsidR="00283B48" w:rsidRPr="009A3181">
              <w:rPr>
                <w:rFonts w:ascii="Times New Roman" w:hAnsi="Times New Roman"/>
              </w:rPr>
              <w:t xml:space="preserve">zasad uczestnictwa i realizacji </w:t>
            </w:r>
            <w:r w:rsidR="00D94839" w:rsidRPr="009A3181">
              <w:rPr>
                <w:rFonts w:ascii="Times New Roman" w:hAnsi="Times New Roman"/>
              </w:rPr>
              <w:t>w Programie Stop Smog</w:t>
            </w:r>
            <w:r w:rsidR="00A80B50" w:rsidRPr="009A3181">
              <w:rPr>
                <w:rFonts w:ascii="Times New Roman" w:hAnsi="Times New Roman"/>
              </w:rPr>
              <w:t>;</w:t>
            </w:r>
          </w:p>
          <w:p w:rsidR="009F78EA" w:rsidRDefault="00D01400" w:rsidP="009A3181">
            <w:pPr>
              <w:pStyle w:val="Akapitzlist"/>
              <w:numPr>
                <w:ilvl w:val="0"/>
                <w:numId w:val="35"/>
              </w:numPr>
              <w:spacing w:line="240" w:lineRule="auto"/>
              <w:jc w:val="both"/>
              <w:rPr>
                <w:rFonts w:ascii="Times New Roman" w:hAnsi="Times New Roman"/>
              </w:rPr>
            </w:pPr>
            <w:r>
              <w:rPr>
                <w:rFonts w:ascii="Times New Roman" w:hAnsi="Times New Roman"/>
              </w:rPr>
              <w:t>u</w:t>
            </w:r>
            <w:r w:rsidRPr="009A3181">
              <w:rPr>
                <w:rFonts w:ascii="Times New Roman" w:hAnsi="Times New Roman"/>
              </w:rPr>
              <w:t>sp</w:t>
            </w:r>
            <w:r w:rsidRPr="00A80B50">
              <w:rPr>
                <w:rFonts w:ascii="Times New Roman" w:hAnsi="Times New Roman"/>
              </w:rPr>
              <w:t>rawnienie</w:t>
            </w:r>
            <w:r w:rsidR="00A80B50" w:rsidRPr="00A80B50">
              <w:rPr>
                <w:rFonts w:ascii="Times New Roman" w:hAnsi="Times New Roman"/>
              </w:rPr>
              <w:t xml:space="preserve"> działania rządowego programu p</w:t>
            </w:r>
            <w:r w:rsidR="00A80B50" w:rsidRPr="009A3181">
              <w:rPr>
                <w:rFonts w:ascii="Times New Roman" w:hAnsi="Times New Roman"/>
              </w:rPr>
              <w:t>riorytetowego  „Czyste Powietrze”.</w:t>
            </w:r>
          </w:p>
          <w:p w:rsidR="00D94839" w:rsidRPr="009A3181" w:rsidRDefault="00D94839" w:rsidP="009A3181">
            <w:pPr>
              <w:pStyle w:val="Akapitzlist"/>
              <w:spacing w:line="240" w:lineRule="auto"/>
              <w:jc w:val="both"/>
              <w:rPr>
                <w:rFonts w:ascii="Times New Roman" w:hAnsi="Times New Roman"/>
              </w:rPr>
            </w:pPr>
          </w:p>
          <w:p w:rsidR="00A36AA4" w:rsidRPr="008D18B0" w:rsidRDefault="00A80B50" w:rsidP="00A36AA4">
            <w:pPr>
              <w:spacing w:line="240" w:lineRule="auto"/>
              <w:jc w:val="both"/>
              <w:rPr>
                <w:rFonts w:ascii="Times New Roman" w:hAnsi="Times New Roman"/>
              </w:rPr>
            </w:pPr>
            <w:r w:rsidRPr="00481F21">
              <w:rPr>
                <w:rFonts w:ascii="Times New Roman" w:hAnsi="Times New Roman"/>
                <w:bCs/>
              </w:rPr>
              <w:lastRenderedPageBreak/>
              <w:t xml:space="preserve">Ad 1. </w:t>
            </w:r>
            <w:r w:rsidR="00D94839" w:rsidRPr="00481F21">
              <w:rPr>
                <w:rFonts w:ascii="Times New Roman" w:hAnsi="Times New Roman"/>
                <w:bCs/>
              </w:rPr>
              <w:t>W zakresie systemu informatycznego</w:t>
            </w:r>
            <w:r w:rsidR="00D94839">
              <w:rPr>
                <w:rFonts w:ascii="Times New Roman" w:hAnsi="Times New Roman"/>
              </w:rPr>
              <w:t xml:space="preserve"> p</w:t>
            </w:r>
            <w:r w:rsidR="008D18B0">
              <w:rPr>
                <w:rFonts w:ascii="Times New Roman" w:hAnsi="Times New Roman"/>
              </w:rPr>
              <w:t>rojektowana regulacja</w:t>
            </w:r>
            <w:r w:rsidR="0014005C" w:rsidRPr="0014005C">
              <w:rPr>
                <w:rFonts w:ascii="Times New Roman" w:hAnsi="Times New Roman"/>
              </w:rPr>
              <w:t xml:space="preserve"> definiuje poszczególne grupy interesariuszy, w tym dostawców danych do systemu (wykaz osób uprawnionych – podmioty zasilające CE</w:t>
            </w:r>
            <w:r w:rsidR="008D18B0">
              <w:rPr>
                <w:rFonts w:ascii="Times New Roman" w:hAnsi="Times New Roman"/>
              </w:rPr>
              <w:t>E</w:t>
            </w:r>
            <w:r w:rsidR="0014005C" w:rsidRPr="0014005C">
              <w:rPr>
                <w:rFonts w:ascii="Times New Roman" w:hAnsi="Times New Roman"/>
              </w:rPr>
              <w:t>B) i zapewniających jednocześnie systematyczną aktualizację danych zbieranych do systemu, co pozwoli na utworzenie CE</w:t>
            </w:r>
            <w:r w:rsidR="008D18B0">
              <w:rPr>
                <w:rFonts w:ascii="Times New Roman" w:hAnsi="Times New Roman"/>
              </w:rPr>
              <w:t>E</w:t>
            </w:r>
            <w:r w:rsidR="0014005C" w:rsidRPr="0014005C">
              <w:rPr>
                <w:rFonts w:ascii="Times New Roman" w:hAnsi="Times New Roman"/>
              </w:rPr>
              <w:t>B. W systemie informatycznym zostaną zebrane kluczowe informacje na temat źródeł emisji w sektorze komunalno - bytowym, które zostaną pozyskane w efekcie ogólnopolskiej powszechnej inwentaryzacji, w sposób umożliwiający ich geolokalizacj</w:t>
            </w:r>
            <w:r w:rsidR="00481F21">
              <w:rPr>
                <w:rFonts w:ascii="Times New Roman" w:hAnsi="Times New Roman"/>
              </w:rPr>
              <w:t>ę</w:t>
            </w:r>
            <w:r w:rsidR="0014005C" w:rsidRPr="0014005C">
              <w:rPr>
                <w:rFonts w:ascii="Times New Roman" w:hAnsi="Times New Roman"/>
              </w:rPr>
              <w:t xml:space="preserve"> z dokładnością do każdego budynku mieszkalnego w Polsce oraz osadzenie tych informacji na danych o istniejącej i planowanej dystrybucyjnej infrastrukturze sieciowej </w:t>
            </w:r>
            <w:r w:rsidR="008D18B0">
              <w:rPr>
                <w:rFonts w:ascii="Times New Roman" w:hAnsi="Times New Roman"/>
              </w:rPr>
              <w:t>dostawców ciepła i gazu</w:t>
            </w:r>
            <w:r w:rsidR="0014005C" w:rsidRPr="0014005C">
              <w:rPr>
                <w:rFonts w:ascii="Times New Roman" w:hAnsi="Times New Roman"/>
              </w:rPr>
              <w:t>. System ten będzie również umożliwiał zbieranie danych dotyczących stanu energetycznego budynków, informacji o wszelkich formach pomocy publicznej (dotacje, preferencyjne kredyty) przyznanych na termomodernizację bądź wymianę kotłów w budynkach, jak również o formach pomocy społecznej</w:t>
            </w:r>
            <w:r w:rsidR="008D18B0">
              <w:rPr>
                <w:rFonts w:ascii="Times New Roman" w:hAnsi="Times New Roman"/>
              </w:rPr>
              <w:t xml:space="preserve"> lub innych wsparciach ze środków publicznych udzielanych</w:t>
            </w:r>
            <w:r w:rsidR="0014005C" w:rsidRPr="0014005C">
              <w:rPr>
                <w:rFonts w:ascii="Times New Roman" w:hAnsi="Times New Roman"/>
              </w:rPr>
              <w:t xml:space="preserve"> mieszkańcom tych budynków mieszkalnych. W ramach narzędzia informatycznego obsługującego </w:t>
            </w:r>
            <w:r w:rsidR="001B67EC">
              <w:rPr>
                <w:rFonts w:ascii="Times New Roman" w:hAnsi="Times New Roman"/>
              </w:rPr>
              <w:t>CEEB</w:t>
            </w:r>
            <w:r w:rsidR="0014005C" w:rsidRPr="0014005C">
              <w:rPr>
                <w:rFonts w:ascii="Times New Roman" w:hAnsi="Times New Roman"/>
              </w:rPr>
              <w:t xml:space="preserve"> zostaną wytworzone moduły analityczne, które pozwalać będą na przeprowadzanie zautomatyzowanych analiz środowiskowych (na przykład wpływ niskiej emisji na lokalną jakość powietrza), zdrowotnych czy też finansowych dotyczących zjawiska niskiej emisji i metod jej zwalczania. W szczególności te narzędzia analityczne będą umożliwiać i racjonalizować podejmowanie decyzji inwestycyjnych wspierających przeciwdziałanie zjawisku niskiej emisji na danym terenie (ulica, dzielnica, wieś/miasto, gmina, powiat, województwo) poprzez analizę kosztów i oczekiwanych efektów wariantowych form interwencji publicznej (wsparcie wymiany na kotły węglowe piątej generacji, wsparcie wymiany kotłów węglowych na gazowe czy też wspa</w:t>
            </w:r>
            <w:r w:rsidR="008D18B0">
              <w:rPr>
                <w:rFonts w:ascii="Times New Roman" w:hAnsi="Times New Roman"/>
              </w:rPr>
              <w:t xml:space="preserve">rcie podłączenia danego budynku </w:t>
            </w:r>
            <w:r w:rsidR="0014005C" w:rsidRPr="0014005C">
              <w:rPr>
                <w:rFonts w:ascii="Times New Roman" w:hAnsi="Times New Roman"/>
              </w:rPr>
              <w:t xml:space="preserve">do systemu ciepłowniczego, działania termomodernizacyjne). </w:t>
            </w:r>
          </w:p>
          <w:p w:rsidR="004C1F3A" w:rsidRDefault="004C1F3A" w:rsidP="004C1F3A">
            <w:pPr>
              <w:spacing w:line="240" w:lineRule="auto"/>
              <w:jc w:val="both"/>
              <w:rPr>
                <w:rFonts w:ascii="Times New Roman" w:hAnsi="Times New Roman"/>
                <w:color w:val="000000"/>
                <w:spacing w:val="-2"/>
              </w:rPr>
            </w:pPr>
            <w:r w:rsidRPr="004C1F3A">
              <w:rPr>
                <w:rFonts w:ascii="Times New Roman" w:hAnsi="Times New Roman"/>
                <w:color w:val="000000"/>
                <w:spacing w:val="-2"/>
              </w:rPr>
              <w:t>W systemie będą gromadzone dane o</w:t>
            </w:r>
            <w:r w:rsidR="005F0B92">
              <w:rPr>
                <w:rFonts w:ascii="Times New Roman" w:hAnsi="Times New Roman"/>
                <w:color w:val="000000"/>
                <w:spacing w:val="-2"/>
              </w:rPr>
              <w:t xml:space="preserve"> </w:t>
            </w:r>
            <w:r w:rsidRPr="004C1F3A">
              <w:rPr>
                <w:rFonts w:ascii="Times New Roman" w:hAnsi="Times New Roman"/>
                <w:color w:val="000000"/>
                <w:spacing w:val="-2"/>
              </w:rPr>
              <w:t xml:space="preserve">budynkach, w </w:t>
            </w:r>
            <w:r w:rsidR="005F0B92">
              <w:rPr>
                <w:rFonts w:ascii="Times New Roman" w:hAnsi="Times New Roman"/>
                <w:color w:val="000000"/>
                <w:spacing w:val="-2"/>
              </w:rPr>
              <w:t>zakresie</w:t>
            </w:r>
            <w:r w:rsidRPr="004C1F3A">
              <w:rPr>
                <w:rFonts w:ascii="Times New Roman" w:hAnsi="Times New Roman"/>
                <w:color w:val="000000"/>
                <w:spacing w:val="-2"/>
              </w:rPr>
              <w:t xml:space="preserve"> eksploatowan</w:t>
            </w:r>
            <w:r w:rsidR="005F0B92">
              <w:rPr>
                <w:rFonts w:ascii="Times New Roman" w:hAnsi="Times New Roman"/>
                <w:color w:val="000000"/>
                <w:spacing w:val="-2"/>
              </w:rPr>
              <w:t>ych</w:t>
            </w:r>
            <w:r w:rsidRPr="004C1F3A">
              <w:rPr>
                <w:rFonts w:ascii="Times New Roman" w:hAnsi="Times New Roman"/>
                <w:color w:val="000000"/>
                <w:spacing w:val="-2"/>
              </w:rPr>
              <w:t xml:space="preserve"> </w:t>
            </w:r>
            <w:r w:rsidR="005F0B92">
              <w:rPr>
                <w:rFonts w:ascii="Times New Roman" w:hAnsi="Times New Roman"/>
                <w:color w:val="000000"/>
                <w:spacing w:val="-2"/>
              </w:rPr>
              <w:t>w nich lub na ich potrzeby</w:t>
            </w:r>
            <w:r w:rsidR="00A36AA4">
              <w:rPr>
                <w:rFonts w:ascii="Times New Roman" w:hAnsi="Times New Roman"/>
                <w:color w:val="000000"/>
                <w:spacing w:val="-2"/>
              </w:rPr>
              <w:t>:</w:t>
            </w:r>
            <w:r w:rsidRPr="004C1F3A">
              <w:rPr>
                <w:rFonts w:ascii="Times New Roman" w:hAnsi="Times New Roman"/>
                <w:color w:val="000000"/>
                <w:spacing w:val="-2"/>
              </w:rPr>
              <w:t xml:space="preserve"> </w:t>
            </w:r>
            <w:r w:rsidR="00A36AA4">
              <w:rPr>
                <w:rFonts w:ascii="Times New Roman" w:hAnsi="Times New Roman"/>
                <w:color w:val="000000"/>
                <w:spacing w:val="-2"/>
              </w:rPr>
              <w:t>źród</w:t>
            </w:r>
            <w:r w:rsidR="005F0B92">
              <w:rPr>
                <w:rFonts w:ascii="Times New Roman" w:hAnsi="Times New Roman"/>
                <w:color w:val="000000"/>
                <w:spacing w:val="-2"/>
              </w:rPr>
              <w:t>eł</w:t>
            </w:r>
            <w:r w:rsidR="00A36AA4">
              <w:rPr>
                <w:rFonts w:ascii="Times New Roman" w:hAnsi="Times New Roman"/>
                <w:color w:val="000000"/>
                <w:spacing w:val="-2"/>
              </w:rPr>
              <w:t xml:space="preserve"> ciepła, w tym zasilanie</w:t>
            </w:r>
            <w:r w:rsidR="005F0B92">
              <w:rPr>
                <w:rFonts w:ascii="Times New Roman" w:hAnsi="Times New Roman"/>
                <w:color w:val="000000"/>
                <w:spacing w:val="-2"/>
              </w:rPr>
              <w:t xml:space="preserve"> z sieci ciepłowniczej</w:t>
            </w:r>
            <w:r w:rsidR="00A36AA4">
              <w:rPr>
                <w:rFonts w:ascii="Times New Roman" w:hAnsi="Times New Roman"/>
                <w:color w:val="000000"/>
                <w:spacing w:val="-2"/>
              </w:rPr>
              <w:t>, źród</w:t>
            </w:r>
            <w:r w:rsidR="005F0B92">
              <w:rPr>
                <w:rFonts w:ascii="Times New Roman" w:hAnsi="Times New Roman"/>
                <w:color w:val="000000"/>
                <w:spacing w:val="-2"/>
              </w:rPr>
              <w:t xml:space="preserve">eł energii elektrycznej </w:t>
            </w:r>
            <w:r w:rsidR="00A36AA4">
              <w:rPr>
                <w:rFonts w:ascii="Times New Roman" w:hAnsi="Times New Roman"/>
                <w:color w:val="000000"/>
                <w:spacing w:val="-2"/>
              </w:rPr>
              <w:t xml:space="preserve">oraz </w:t>
            </w:r>
            <w:r w:rsidR="00A36AA4" w:rsidRPr="00A36AA4">
              <w:rPr>
                <w:rFonts w:ascii="Times New Roman" w:hAnsi="Times New Roman"/>
                <w:color w:val="000000"/>
                <w:spacing w:val="-2"/>
              </w:rPr>
              <w:t>źród</w:t>
            </w:r>
            <w:r w:rsidR="005F0B92">
              <w:rPr>
                <w:rFonts w:ascii="Times New Roman" w:hAnsi="Times New Roman"/>
                <w:color w:val="000000"/>
                <w:spacing w:val="-2"/>
              </w:rPr>
              <w:t>eł</w:t>
            </w:r>
            <w:r w:rsidR="00A36AA4" w:rsidRPr="00A36AA4">
              <w:rPr>
                <w:rFonts w:ascii="Times New Roman" w:hAnsi="Times New Roman"/>
                <w:color w:val="000000"/>
                <w:spacing w:val="-2"/>
              </w:rPr>
              <w:t xml:space="preserve"> spalania paliw, w rozumieniu art. 157a ust. 1 pkt 7 ustawy z dnia 27 kwietnia 2001 r. </w:t>
            </w:r>
            <w:r w:rsidR="0009694D" w:rsidRPr="0009694D">
              <w:rPr>
                <w:rFonts w:ascii="Times New Roman" w:hAnsi="Times New Roman"/>
                <w:color w:val="000000"/>
                <w:spacing w:val="-2"/>
              </w:rPr>
              <w:t>–</w:t>
            </w:r>
            <w:r w:rsidR="0009694D">
              <w:rPr>
                <w:rFonts w:ascii="Times New Roman" w:hAnsi="Times New Roman"/>
                <w:color w:val="000000"/>
                <w:spacing w:val="-2"/>
              </w:rPr>
              <w:t xml:space="preserve"> </w:t>
            </w:r>
            <w:r w:rsidR="00A36AA4" w:rsidRPr="00A36AA4">
              <w:rPr>
                <w:rFonts w:ascii="Times New Roman" w:hAnsi="Times New Roman"/>
                <w:color w:val="000000"/>
                <w:spacing w:val="-2"/>
              </w:rPr>
              <w:t>Prawo ochrony środowiska (Dz. U. z 2019 r. poz. 1396, z późn. zm.), o nominalnej mocy cieplnej mniejszej niż 1 MW, niewymagającego pozwolenia, o którym mowa w art. 181 ust. 1 pkt 1 i 2 albo zgłoszenia, o którym mo</w:t>
            </w:r>
            <w:r w:rsidR="005F0B92">
              <w:rPr>
                <w:rFonts w:ascii="Times New Roman" w:hAnsi="Times New Roman"/>
                <w:color w:val="000000"/>
                <w:spacing w:val="-2"/>
              </w:rPr>
              <w:t xml:space="preserve">wa w art. 152 ust. 1 tej ustawy. </w:t>
            </w:r>
            <w:r w:rsidRPr="004C1F3A">
              <w:rPr>
                <w:rFonts w:ascii="Times New Roman" w:hAnsi="Times New Roman"/>
                <w:color w:val="000000"/>
                <w:spacing w:val="-2"/>
              </w:rPr>
              <w:t xml:space="preserve">Decydującym kryterium </w:t>
            </w:r>
            <w:r w:rsidR="009D7611">
              <w:rPr>
                <w:rFonts w:ascii="Times New Roman" w:hAnsi="Times New Roman"/>
                <w:color w:val="000000"/>
                <w:spacing w:val="-2"/>
              </w:rPr>
              <w:t>wpisu budynku do systemu</w:t>
            </w:r>
            <w:r w:rsidR="005F0B92">
              <w:rPr>
                <w:rFonts w:ascii="Times New Roman" w:hAnsi="Times New Roman"/>
                <w:color w:val="000000"/>
                <w:spacing w:val="-2"/>
              </w:rPr>
              <w:t xml:space="preserve"> w przypadku „kopciuchów” </w:t>
            </w:r>
            <w:r w:rsidRPr="004C1F3A">
              <w:rPr>
                <w:rFonts w:ascii="Times New Roman" w:hAnsi="Times New Roman"/>
                <w:color w:val="000000"/>
                <w:spacing w:val="-2"/>
              </w:rPr>
              <w:t xml:space="preserve">pozostaje bowiem moc cieplna źródła </w:t>
            </w:r>
            <w:r w:rsidR="005F0B92">
              <w:rPr>
                <w:rFonts w:ascii="Times New Roman" w:hAnsi="Times New Roman"/>
                <w:color w:val="000000"/>
                <w:spacing w:val="-2"/>
              </w:rPr>
              <w:t xml:space="preserve">spalania paliwa </w:t>
            </w:r>
            <w:r w:rsidRPr="004C1F3A">
              <w:rPr>
                <w:rFonts w:ascii="Times New Roman" w:hAnsi="Times New Roman"/>
                <w:color w:val="000000"/>
                <w:spacing w:val="-2"/>
              </w:rPr>
              <w:t xml:space="preserve">– nie więcej niż 1 MW. Kryterium wpisu </w:t>
            </w:r>
            <w:r w:rsidR="005F0B92">
              <w:rPr>
                <w:rFonts w:ascii="Times New Roman" w:hAnsi="Times New Roman"/>
                <w:color w:val="000000"/>
                <w:spacing w:val="-2"/>
              </w:rPr>
              <w:t xml:space="preserve">budynku </w:t>
            </w:r>
            <w:r w:rsidRPr="004C1F3A">
              <w:rPr>
                <w:rFonts w:ascii="Times New Roman" w:hAnsi="Times New Roman"/>
                <w:color w:val="000000"/>
                <w:spacing w:val="-2"/>
              </w:rPr>
              <w:t xml:space="preserve">do systemu </w:t>
            </w:r>
            <w:r w:rsidR="005F0B92">
              <w:rPr>
                <w:rFonts w:ascii="Times New Roman" w:hAnsi="Times New Roman"/>
                <w:color w:val="000000"/>
                <w:spacing w:val="-2"/>
              </w:rPr>
              <w:t>pozostaje</w:t>
            </w:r>
            <w:r w:rsidRPr="004C1F3A">
              <w:rPr>
                <w:rFonts w:ascii="Times New Roman" w:hAnsi="Times New Roman"/>
                <w:color w:val="000000"/>
                <w:spacing w:val="-2"/>
              </w:rPr>
              <w:t xml:space="preserve"> moc źródła, niezależnie od formy prawnej użytkowania budynku, tj. czy przez osobę prywatną czy </w:t>
            </w:r>
            <w:r w:rsidR="009D7611">
              <w:rPr>
                <w:rFonts w:ascii="Times New Roman" w:hAnsi="Times New Roman"/>
                <w:color w:val="000000"/>
                <w:spacing w:val="-2"/>
              </w:rPr>
              <w:t xml:space="preserve">przez </w:t>
            </w:r>
            <w:r w:rsidRPr="004C1F3A">
              <w:rPr>
                <w:rFonts w:ascii="Times New Roman" w:hAnsi="Times New Roman"/>
                <w:color w:val="000000"/>
                <w:spacing w:val="-2"/>
              </w:rPr>
              <w:t>przedsiębiorcę.</w:t>
            </w:r>
            <w:r w:rsidR="0009694D">
              <w:rPr>
                <w:rFonts w:ascii="Times New Roman" w:hAnsi="Times New Roman"/>
                <w:color w:val="000000"/>
                <w:spacing w:val="-2"/>
              </w:rPr>
              <w:t xml:space="preserve"> </w:t>
            </w:r>
            <w:r w:rsidR="000760BA">
              <w:rPr>
                <w:rFonts w:ascii="Times New Roman" w:hAnsi="Times New Roman"/>
                <w:color w:val="000000"/>
                <w:spacing w:val="-2"/>
              </w:rPr>
              <w:t>CEEB</w:t>
            </w:r>
            <w:r w:rsidRPr="004C1F3A">
              <w:rPr>
                <w:rFonts w:ascii="Times New Roman" w:hAnsi="Times New Roman"/>
                <w:color w:val="000000"/>
                <w:spacing w:val="-2"/>
              </w:rPr>
              <w:t xml:space="preserve"> zostaną więc objęte również takie budynki jak małe lokalne ciepłownie czy małe zakłady produkcyjne, pod warunkiem, że nominalna moc cieplna wykorzystywanego źródła spalania paliw nie przekracza 1MW.  </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Zgodnie z projektowanym rozwiązaniem i danymi przekazywanymi z systemu referencyjnego BDOT10k inwentaryzacja dotyczyć będzie następujących budynków:</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1) budynk</w:t>
            </w:r>
            <w:r w:rsidR="00471228">
              <w:rPr>
                <w:rFonts w:ascii="Times New Roman" w:hAnsi="Times New Roman"/>
                <w:color w:val="000000"/>
                <w:spacing w:val="-2"/>
              </w:rPr>
              <w:t>ów</w:t>
            </w:r>
            <w:r w:rsidRPr="00021CE9">
              <w:rPr>
                <w:rFonts w:ascii="Times New Roman" w:hAnsi="Times New Roman"/>
                <w:color w:val="000000"/>
                <w:spacing w:val="-2"/>
              </w:rPr>
              <w:t xml:space="preserve"> mieszkaln</w:t>
            </w:r>
            <w:r w:rsidR="00471228">
              <w:rPr>
                <w:rFonts w:ascii="Times New Roman" w:hAnsi="Times New Roman"/>
                <w:color w:val="000000"/>
                <w:spacing w:val="-2"/>
              </w:rPr>
              <w:t>ych</w:t>
            </w:r>
            <w:r w:rsidRPr="00021CE9">
              <w:rPr>
                <w:rFonts w:ascii="Times New Roman" w:hAnsi="Times New Roman"/>
                <w:color w:val="000000"/>
                <w:spacing w:val="-2"/>
              </w:rPr>
              <w:t xml:space="preserve"> jednorodzinn</w:t>
            </w:r>
            <w:r w:rsidR="00471228">
              <w:rPr>
                <w:rFonts w:ascii="Times New Roman" w:hAnsi="Times New Roman"/>
                <w:color w:val="000000"/>
                <w:spacing w:val="-2"/>
              </w:rPr>
              <w:t>ych</w:t>
            </w:r>
            <w:r w:rsidRPr="00021CE9">
              <w:rPr>
                <w:rFonts w:ascii="Times New Roman" w:hAnsi="Times New Roman"/>
                <w:color w:val="000000"/>
                <w:spacing w:val="-2"/>
              </w:rPr>
              <w:t xml:space="preserve"> (BUBD01)</w:t>
            </w:r>
            <w:r w:rsidR="00471228">
              <w:rPr>
                <w:rFonts w:ascii="Times New Roman" w:hAnsi="Times New Roman"/>
                <w:color w:val="000000"/>
                <w:spacing w:val="-2"/>
              </w:rPr>
              <w:t>;</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2) budynk</w:t>
            </w:r>
            <w:r w:rsidR="00471228">
              <w:rPr>
                <w:rFonts w:ascii="Times New Roman" w:hAnsi="Times New Roman"/>
                <w:color w:val="000000"/>
                <w:spacing w:val="-2"/>
              </w:rPr>
              <w:t>ów</w:t>
            </w:r>
            <w:r w:rsidRPr="00021CE9">
              <w:rPr>
                <w:rFonts w:ascii="Times New Roman" w:hAnsi="Times New Roman"/>
                <w:color w:val="000000"/>
                <w:spacing w:val="-2"/>
              </w:rPr>
              <w:t xml:space="preserve"> o dwóch mieszkaniach (BUBD02)</w:t>
            </w:r>
            <w:r w:rsidR="00471228">
              <w:rPr>
                <w:rFonts w:ascii="Times New Roman" w:hAnsi="Times New Roman"/>
                <w:color w:val="000000"/>
                <w:spacing w:val="-2"/>
              </w:rPr>
              <w:t>;</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3) budynk</w:t>
            </w:r>
            <w:r w:rsidR="00471228">
              <w:rPr>
                <w:rFonts w:ascii="Times New Roman" w:hAnsi="Times New Roman"/>
                <w:color w:val="000000"/>
                <w:spacing w:val="-2"/>
              </w:rPr>
              <w:t>ów</w:t>
            </w:r>
            <w:r w:rsidRPr="00021CE9">
              <w:rPr>
                <w:rFonts w:ascii="Times New Roman" w:hAnsi="Times New Roman"/>
                <w:color w:val="000000"/>
                <w:spacing w:val="-2"/>
              </w:rPr>
              <w:t xml:space="preserve"> o trzech i więcej mieszkaniach (BUBD03)</w:t>
            </w:r>
            <w:r w:rsidR="00471228">
              <w:rPr>
                <w:rFonts w:ascii="Times New Roman" w:hAnsi="Times New Roman"/>
                <w:color w:val="000000"/>
                <w:spacing w:val="-2"/>
              </w:rPr>
              <w:t>;</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4) budynk</w:t>
            </w:r>
            <w:r w:rsidR="00471228">
              <w:rPr>
                <w:rFonts w:ascii="Times New Roman" w:hAnsi="Times New Roman"/>
                <w:color w:val="000000"/>
                <w:spacing w:val="-2"/>
              </w:rPr>
              <w:t>ów</w:t>
            </w:r>
            <w:r w:rsidRPr="00021CE9">
              <w:rPr>
                <w:rFonts w:ascii="Times New Roman" w:hAnsi="Times New Roman"/>
                <w:color w:val="000000"/>
                <w:spacing w:val="-2"/>
              </w:rPr>
              <w:t xml:space="preserve"> zbiorowego zamieszkania (BUBD04)</w:t>
            </w:r>
            <w:r w:rsidR="00471228">
              <w:rPr>
                <w:rFonts w:ascii="Times New Roman" w:hAnsi="Times New Roman"/>
                <w:color w:val="000000"/>
                <w:spacing w:val="-2"/>
              </w:rPr>
              <w:t>;</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5) budynk</w:t>
            </w:r>
            <w:r w:rsidR="00471228">
              <w:rPr>
                <w:rFonts w:ascii="Times New Roman" w:hAnsi="Times New Roman"/>
                <w:color w:val="000000"/>
                <w:spacing w:val="-2"/>
              </w:rPr>
              <w:t>ów</w:t>
            </w:r>
            <w:r w:rsidRPr="00021CE9">
              <w:rPr>
                <w:rFonts w:ascii="Times New Roman" w:hAnsi="Times New Roman"/>
                <w:color w:val="000000"/>
                <w:spacing w:val="-2"/>
              </w:rPr>
              <w:t xml:space="preserve"> hoteli (BUBD05)</w:t>
            </w:r>
            <w:r w:rsidR="00471228">
              <w:rPr>
                <w:rFonts w:ascii="Times New Roman" w:hAnsi="Times New Roman"/>
                <w:color w:val="000000"/>
                <w:spacing w:val="-2"/>
              </w:rPr>
              <w:t>;</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6) budynk</w:t>
            </w:r>
            <w:r w:rsidR="00471228">
              <w:rPr>
                <w:rFonts w:ascii="Times New Roman" w:hAnsi="Times New Roman"/>
                <w:color w:val="000000"/>
                <w:spacing w:val="-2"/>
              </w:rPr>
              <w:t>ów</w:t>
            </w:r>
            <w:r w:rsidRPr="00021CE9">
              <w:rPr>
                <w:rFonts w:ascii="Times New Roman" w:hAnsi="Times New Roman"/>
                <w:color w:val="000000"/>
                <w:spacing w:val="-2"/>
              </w:rPr>
              <w:t xml:space="preserve"> zakwaterowania turystycznego, pozostał</w:t>
            </w:r>
            <w:r w:rsidR="00471228">
              <w:rPr>
                <w:rFonts w:ascii="Times New Roman" w:hAnsi="Times New Roman"/>
                <w:color w:val="000000"/>
                <w:spacing w:val="-2"/>
              </w:rPr>
              <w:t>ych</w:t>
            </w:r>
            <w:r w:rsidRPr="00021CE9">
              <w:rPr>
                <w:rFonts w:ascii="Times New Roman" w:hAnsi="Times New Roman"/>
                <w:color w:val="000000"/>
                <w:spacing w:val="-2"/>
              </w:rPr>
              <w:t xml:space="preserve"> (BUBD06)</w:t>
            </w:r>
            <w:r w:rsidR="00471228">
              <w:rPr>
                <w:rFonts w:ascii="Times New Roman" w:hAnsi="Times New Roman"/>
                <w:color w:val="000000"/>
                <w:spacing w:val="-2"/>
              </w:rPr>
              <w:t>;</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7) budynk</w:t>
            </w:r>
            <w:r w:rsidR="00471228">
              <w:rPr>
                <w:rFonts w:ascii="Times New Roman" w:hAnsi="Times New Roman"/>
                <w:color w:val="000000"/>
                <w:spacing w:val="-2"/>
              </w:rPr>
              <w:t>ów</w:t>
            </w:r>
            <w:r w:rsidRPr="00021CE9">
              <w:rPr>
                <w:rFonts w:ascii="Times New Roman" w:hAnsi="Times New Roman"/>
                <w:color w:val="000000"/>
                <w:spacing w:val="-2"/>
              </w:rPr>
              <w:t xml:space="preserve"> biurow</w:t>
            </w:r>
            <w:r w:rsidR="00471228">
              <w:rPr>
                <w:rFonts w:ascii="Times New Roman" w:hAnsi="Times New Roman"/>
                <w:color w:val="000000"/>
                <w:spacing w:val="-2"/>
              </w:rPr>
              <w:t>ych</w:t>
            </w:r>
            <w:r w:rsidRPr="00021CE9">
              <w:rPr>
                <w:rFonts w:ascii="Times New Roman" w:hAnsi="Times New Roman"/>
                <w:color w:val="000000"/>
                <w:spacing w:val="-2"/>
              </w:rPr>
              <w:t xml:space="preserve"> (BUBD07)</w:t>
            </w:r>
            <w:r w:rsidR="00471228">
              <w:rPr>
                <w:rFonts w:ascii="Times New Roman" w:hAnsi="Times New Roman"/>
                <w:color w:val="000000"/>
                <w:spacing w:val="-2"/>
              </w:rPr>
              <w:t>;</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8) budynk</w:t>
            </w:r>
            <w:r w:rsidR="00471228">
              <w:rPr>
                <w:rFonts w:ascii="Times New Roman" w:hAnsi="Times New Roman"/>
                <w:color w:val="000000"/>
                <w:spacing w:val="-2"/>
              </w:rPr>
              <w:t>ów</w:t>
            </w:r>
            <w:r w:rsidRPr="00021CE9">
              <w:rPr>
                <w:rFonts w:ascii="Times New Roman" w:hAnsi="Times New Roman"/>
                <w:color w:val="000000"/>
                <w:spacing w:val="-2"/>
              </w:rPr>
              <w:t xml:space="preserve"> handlowo ‐ usługow</w:t>
            </w:r>
            <w:r w:rsidR="00471228">
              <w:rPr>
                <w:rFonts w:ascii="Times New Roman" w:hAnsi="Times New Roman"/>
                <w:color w:val="000000"/>
                <w:spacing w:val="-2"/>
              </w:rPr>
              <w:t>ych</w:t>
            </w:r>
            <w:r w:rsidRPr="00021CE9">
              <w:rPr>
                <w:rFonts w:ascii="Times New Roman" w:hAnsi="Times New Roman"/>
                <w:color w:val="000000"/>
                <w:spacing w:val="-2"/>
              </w:rPr>
              <w:t xml:space="preserve"> (BUBD08)</w:t>
            </w:r>
            <w:r w:rsidR="00471228">
              <w:rPr>
                <w:rFonts w:ascii="Times New Roman" w:hAnsi="Times New Roman"/>
                <w:color w:val="000000"/>
                <w:spacing w:val="-2"/>
              </w:rPr>
              <w:t>;</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9) zbiornik</w:t>
            </w:r>
            <w:r w:rsidR="00471228">
              <w:rPr>
                <w:rFonts w:ascii="Times New Roman" w:hAnsi="Times New Roman"/>
                <w:color w:val="000000"/>
                <w:spacing w:val="-2"/>
              </w:rPr>
              <w:t>ów</w:t>
            </w:r>
            <w:r w:rsidRPr="00021CE9">
              <w:rPr>
                <w:rFonts w:ascii="Times New Roman" w:hAnsi="Times New Roman"/>
                <w:color w:val="000000"/>
                <w:spacing w:val="-2"/>
              </w:rPr>
              <w:t>, silos</w:t>
            </w:r>
            <w:r w:rsidR="00471228">
              <w:rPr>
                <w:rFonts w:ascii="Times New Roman" w:hAnsi="Times New Roman"/>
                <w:color w:val="000000"/>
                <w:spacing w:val="-2"/>
              </w:rPr>
              <w:t>ów</w:t>
            </w:r>
            <w:r w:rsidRPr="00021CE9">
              <w:rPr>
                <w:rFonts w:ascii="Times New Roman" w:hAnsi="Times New Roman"/>
                <w:color w:val="000000"/>
                <w:spacing w:val="-2"/>
              </w:rPr>
              <w:t xml:space="preserve"> i budynk</w:t>
            </w:r>
            <w:r w:rsidR="00471228">
              <w:rPr>
                <w:rFonts w:ascii="Times New Roman" w:hAnsi="Times New Roman"/>
                <w:color w:val="000000"/>
                <w:spacing w:val="-2"/>
              </w:rPr>
              <w:t>ów</w:t>
            </w:r>
            <w:r w:rsidRPr="00021CE9">
              <w:rPr>
                <w:rFonts w:ascii="Times New Roman" w:hAnsi="Times New Roman"/>
                <w:color w:val="000000"/>
                <w:spacing w:val="-2"/>
              </w:rPr>
              <w:t xml:space="preserve"> magazynow</w:t>
            </w:r>
            <w:r w:rsidR="00471228">
              <w:rPr>
                <w:rFonts w:ascii="Times New Roman" w:hAnsi="Times New Roman"/>
                <w:color w:val="000000"/>
                <w:spacing w:val="-2"/>
              </w:rPr>
              <w:t>ych</w:t>
            </w:r>
            <w:r w:rsidRPr="00021CE9">
              <w:rPr>
                <w:rFonts w:ascii="Times New Roman" w:hAnsi="Times New Roman"/>
                <w:color w:val="000000"/>
                <w:spacing w:val="-2"/>
              </w:rPr>
              <w:t xml:space="preserve"> (BUBD12)</w:t>
            </w:r>
            <w:r w:rsidR="00471228">
              <w:rPr>
                <w:rFonts w:ascii="Times New Roman" w:hAnsi="Times New Roman"/>
                <w:color w:val="000000"/>
                <w:spacing w:val="-2"/>
              </w:rPr>
              <w:t>;</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10) budynk</w:t>
            </w:r>
            <w:r w:rsidR="00471228">
              <w:rPr>
                <w:rFonts w:ascii="Times New Roman" w:hAnsi="Times New Roman"/>
                <w:color w:val="000000"/>
                <w:spacing w:val="-2"/>
              </w:rPr>
              <w:t>ów</w:t>
            </w:r>
            <w:r w:rsidRPr="00021CE9">
              <w:rPr>
                <w:rFonts w:ascii="Times New Roman" w:hAnsi="Times New Roman"/>
                <w:color w:val="000000"/>
                <w:spacing w:val="-2"/>
              </w:rPr>
              <w:t xml:space="preserve"> szkół i instytucji badawczych (BUBD15)</w:t>
            </w:r>
            <w:r w:rsidR="00471228">
              <w:rPr>
                <w:rFonts w:ascii="Times New Roman" w:hAnsi="Times New Roman"/>
                <w:color w:val="000000"/>
                <w:spacing w:val="-2"/>
              </w:rPr>
              <w:t>;</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11) budynk</w:t>
            </w:r>
            <w:r w:rsidR="00471228">
              <w:rPr>
                <w:rFonts w:ascii="Times New Roman" w:hAnsi="Times New Roman"/>
                <w:color w:val="000000"/>
                <w:spacing w:val="-2"/>
              </w:rPr>
              <w:t>ów</w:t>
            </w:r>
            <w:r w:rsidRPr="00021CE9">
              <w:rPr>
                <w:rFonts w:ascii="Times New Roman" w:hAnsi="Times New Roman"/>
                <w:color w:val="000000"/>
                <w:spacing w:val="-2"/>
              </w:rPr>
              <w:t xml:space="preserve"> szpitali i zakładów opieki medycznej (BUBD16)</w:t>
            </w:r>
            <w:r w:rsidR="00471228">
              <w:rPr>
                <w:rFonts w:ascii="Times New Roman" w:hAnsi="Times New Roman"/>
                <w:color w:val="000000"/>
                <w:spacing w:val="-2"/>
              </w:rPr>
              <w:t>;</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12) budynk</w:t>
            </w:r>
            <w:r w:rsidR="00471228">
              <w:rPr>
                <w:rFonts w:ascii="Times New Roman" w:hAnsi="Times New Roman"/>
                <w:color w:val="000000"/>
                <w:spacing w:val="-2"/>
              </w:rPr>
              <w:t>ów</w:t>
            </w:r>
            <w:r w:rsidRPr="00021CE9">
              <w:rPr>
                <w:rFonts w:ascii="Times New Roman" w:hAnsi="Times New Roman"/>
                <w:color w:val="000000"/>
                <w:spacing w:val="-2"/>
              </w:rPr>
              <w:t xml:space="preserve"> kultury fizycznej (BUBD17)</w:t>
            </w:r>
            <w:r w:rsidR="00471228">
              <w:rPr>
                <w:rFonts w:ascii="Times New Roman" w:hAnsi="Times New Roman"/>
                <w:color w:val="000000"/>
                <w:spacing w:val="-2"/>
              </w:rPr>
              <w:t>;</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13) budynk</w:t>
            </w:r>
            <w:r w:rsidR="00471228">
              <w:rPr>
                <w:rFonts w:ascii="Times New Roman" w:hAnsi="Times New Roman"/>
                <w:color w:val="000000"/>
                <w:spacing w:val="-2"/>
              </w:rPr>
              <w:t>ów</w:t>
            </w:r>
            <w:r w:rsidRPr="00021CE9">
              <w:rPr>
                <w:rFonts w:ascii="Times New Roman" w:hAnsi="Times New Roman"/>
                <w:color w:val="000000"/>
                <w:spacing w:val="-2"/>
              </w:rPr>
              <w:t xml:space="preserve"> gospodarstw rolnych (BUBD18)</w:t>
            </w:r>
            <w:r w:rsidR="00471228">
              <w:rPr>
                <w:rFonts w:ascii="Times New Roman" w:hAnsi="Times New Roman"/>
                <w:color w:val="000000"/>
                <w:spacing w:val="-2"/>
              </w:rPr>
              <w:t>;</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14) budynk</w:t>
            </w:r>
            <w:r w:rsidR="00471228">
              <w:rPr>
                <w:rFonts w:ascii="Times New Roman" w:hAnsi="Times New Roman"/>
                <w:color w:val="000000"/>
                <w:spacing w:val="-2"/>
              </w:rPr>
              <w:t>ów</w:t>
            </w:r>
            <w:r w:rsidRPr="00021CE9">
              <w:rPr>
                <w:rFonts w:ascii="Times New Roman" w:hAnsi="Times New Roman"/>
                <w:color w:val="000000"/>
                <w:spacing w:val="-2"/>
              </w:rPr>
              <w:t xml:space="preserve"> przeznaczon</w:t>
            </w:r>
            <w:r w:rsidR="00471228">
              <w:rPr>
                <w:rFonts w:ascii="Times New Roman" w:hAnsi="Times New Roman"/>
                <w:color w:val="000000"/>
                <w:spacing w:val="-2"/>
              </w:rPr>
              <w:t>ych</w:t>
            </w:r>
            <w:r w:rsidRPr="00021CE9">
              <w:rPr>
                <w:rFonts w:ascii="Times New Roman" w:hAnsi="Times New Roman"/>
                <w:color w:val="000000"/>
                <w:spacing w:val="-2"/>
              </w:rPr>
              <w:t xml:space="preserve"> do sprawowania kultu religijnego i czynności religijnych (BUBD19)</w:t>
            </w:r>
            <w:r w:rsidR="00471228">
              <w:rPr>
                <w:rFonts w:ascii="Times New Roman" w:hAnsi="Times New Roman"/>
                <w:color w:val="000000"/>
                <w:spacing w:val="-2"/>
              </w:rPr>
              <w:t>;</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15) obiekt</w:t>
            </w:r>
            <w:r w:rsidR="00471228">
              <w:rPr>
                <w:rFonts w:ascii="Times New Roman" w:hAnsi="Times New Roman"/>
                <w:color w:val="000000"/>
                <w:spacing w:val="-2"/>
              </w:rPr>
              <w:t>ów</w:t>
            </w:r>
            <w:r w:rsidRPr="00021CE9">
              <w:rPr>
                <w:rFonts w:ascii="Times New Roman" w:hAnsi="Times New Roman"/>
                <w:color w:val="000000"/>
                <w:spacing w:val="-2"/>
              </w:rPr>
              <w:t xml:space="preserve"> budowlan</w:t>
            </w:r>
            <w:r w:rsidR="00471228">
              <w:rPr>
                <w:rFonts w:ascii="Times New Roman" w:hAnsi="Times New Roman"/>
                <w:color w:val="000000"/>
                <w:spacing w:val="-2"/>
              </w:rPr>
              <w:t>ych</w:t>
            </w:r>
            <w:r w:rsidRPr="00021CE9">
              <w:rPr>
                <w:rFonts w:ascii="Times New Roman" w:hAnsi="Times New Roman"/>
                <w:color w:val="000000"/>
                <w:spacing w:val="-2"/>
              </w:rPr>
              <w:t xml:space="preserve"> wpisan</w:t>
            </w:r>
            <w:r w:rsidR="00471228">
              <w:rPr>
                <w:rFonts w:ascii="Times New Roman" w:hAnsi="Times New Roman"/>
                <w:color w:val="000000"/>
                <w:spacing w:val="-2"/>
              </w:rPr>
              <w:t>ych</w:t>
            </w:r>
            <w:r w:rsidRPr="00021CE9">
              <w:rPr>
                <w:rFonts w:ascii="Times New Roman" w:hAnsi="Times New Roman"/>
                <w:color w:val="000000"/>
                <w:spacing w:val="-2"/>
              </w:rPr>
              <w:t xml:space="preserve"> do rejestru zabytków i objęt</w:t>
            </w:r>
            <w:r w:rsidR="00471228">
              <w:rPr>
                <w:rFonts w:ascii="Times New Roman" w:hAnsi="Times New Roman"/>
                <w:color w:val="000000"/>
                <w:spacing w:val="-2"/>
              </w:rPr>
              <w:t>ych</w:t>
            </w:r>
            <w:r w:rsidRPr="00021CE9">
              <w:rPr>
                <w:rFonts w:ascii="Times New Roman" w:hAnsi="Times New Roman"/>
                <w:color w:val="000000"/>
                <w:spacing w:val="-2"/>
              </w:rPr>
              <w:t xml:space="preserve"> indywidualną ochroną konserwatorską oraz nieruchom</w:t>
            </w:r>
            <w:r w:rsidR="00471228">
              <w:rPr>
                <w:rFonts w:ascii="Times New Roman" w:hAnsi="Times New Roman"/>
                <w:color w:val="000000"/>
                <w:spacing w:val="-2"/>
              </w:rPr>
              <w:t>ych</w:t>
            </w:r>
            <w:r w:rsidRPr="00021CE9">
              <w:rPr>
                <w:rFonts w:ascii="Times New Roman" w:hAnsi="Times New Roman"/>
                <w:color w:val="000000"/>
                <w:spacing w:val="-2"/>
              </w:rPr>
              <w:t>, archeologiczn</w:t>
            </w:r>
            <w:r w:rsidR="00471228">
              <w:rPr>
                <w:rFonts w:ascii="Times New Roman" w:hAnsi="Times New Roman"/>
                <w:color w:val="000000"/>
                <w:spacing w:val="-2"/>
              </w:rPr>
              <w:t>ych</w:t>
            </w:r>
            <w:r w:rsidRPr="00021CE9">
              <w:rPr>
                <w:rFonts w:ascii="Times New Roman" w:hAnsi="Times New Roman"/>
                <w:color w:val="000000"/>
                <w:spacing w:val="-2"/>
              </w:rPr>
              <w:t xml:space="preserve"> d</w:t>
            </w:r>
            <w:r w:rsidR="00471228">
              <w:rPr>
                <w:rFonts w:ascii="Times New Roman" w:hAnsi="Times New Roman"/>
                <w:color w:val="000000"/>
                <w:spacing w:val="-2"/>
              </w:rPr>
              <w:t>óbr</w:t>
            </w:r>
            <w:r w:rsidRPr="00021CE9">
              <w:rPr>
                <w:rFonts w:ascii="Times New Roman" w:hAnsi="Times New Roman"/>
                <w:color w:val="000000"/>
                <w:spacing w:val="-2"/>
              </w:rPr>
              <w:t xml:space="preserve"> kultury (BUBD20)</w:t>
            </w:r>
            <w:r w:rsidR="00471228">
              <w:rPr>
                <w:rFonts w:ascii="Times New Roman" w:hAnsi="Times New Roman"/>
                <w:color w:val="000000"/>
                <w:spacing w:val="-2"/>
              </w:rPr>
              <w:t>;</w:t>
            </w:r>
          </w:p>
          <w:p w:rsidR="00021CE9" w:rsidRPr="00021CE9" w:rsidRDefault="00021CE9" w:rsidP="00FB1A75">
            <w:pPr>
              <w:spacing w:line="240" w:lineRule="auto"/>
              <w:jc w:val="both"/>
              <w:rPr>
                <w:rFonts w:ascii="Times New Roman" w:hAnsi="Times New Roman"/>
                <w:color w:val="000000"/>
                <w:spacing w:val="-2"/>
              </w:rPr>
            </w:pPr>
            <w:r w:rsidRPr="00021CE9">
              <w:rPr>
                <w:rFonts w:ascii="Times New Roman" w:hAnsi="Times New Roman"/>
                <w:color w:val="000000"/>
                <w:spacing w:val="-2"/>
              </w:rPr>
              <w:t>16) pozostał</w:t>
            </w:r>
            <w:r w:rsidR="00471228">
              <w:rPr>
                <w:rFonts w:ascii="Times New Roman" w:hAnsi="Times New Roman"/>
                <w:color w:val="000000"/>
                <w:spacing w:val="-2"/>
              </w:rPr>
              <w:t>ych</w:t>
            </w:r>
            <w:r w:rsidRPr="00021CE9">
              <w:rPr>
                <w:rFonts w:ascii="Times New Roman" w:hAnsi="Times New Roman"/>
                <w:color w:val="000000"/>
                <w:spacing w:val="-2"/>
              </w:rPr>
              <w:t xml:space="preserve"> budynk</w:t>
            </w:r>
            <w:r w:rsidR="00471228">
              <w:rPr>
                <w:rFonts w:ascii="Times New Roman" w:hAnsi="Times New Roman"/>
                <w:color w:val="000000"/>
                <w:spacing w:val="-2"/>
              </w:rPr>
              <w:t>ów</w:t>
            </w:r>
            <w:r w:rsidRPr="00021CE9">
              <w:rPr>
                <w:rFonts w:ascii="Times New Roman" w:hAnsi="Times New Roman"/>
                <w:color w:val="000000"/>
                <w:spacing w:val="-2"/>
              </w:rPr>
              <w:t xml:space="preserve"> niemieszkaln</w:t>
            </w:r>
            <w:r w:rsidR="00471228">
              <w:rPr>
                <w:rFonts w:ascii="Times New Roman" w:hAnsi="Times New Roman"/>
                <w:color w:val="000000"/>
                <w:spacing w:val="-2"/>
              </w:rPr>
              <w:t>ych</w:t>
            </w:r>
            <w:r w:rsidRPr="00021CE9">
              <w:rPr>
                <w:rFonts w:ascii="Times New Roman" w:hAnsi="Times New Roman"/>
                <w:color w:val="000000"/>
                <w:spacing w:val="-2"/>
              </w:rPr>
              <w:t>, gdzie indziej nie wymienion</w:t>
            </w:r>
            <w:r w:rsidR="00471228">
              <w:rPr>
                <w:rFonts w:ascii="Times New Roman" w:hAnsi="Times New Roman"/>
                <w:color w:val="000000"/>
                <w:spacing w:val="-2"/>
              </w:rPr>
              <w:t>ych</w:t>
            </w:r>
            <w:r w:rsidRPr="00021CE9">
              <w:rPr>
                <w:rFonts w:ascii="Times New Roman" w:hAnsi="Times New Roman"/>
                <w:color w:val="000000"/>
                <w:spacing w:val="-2"/>
              </w:rPr>
              <w:t xml:space="preserve"> (BUBD21).</w:t>
            </w:r>
          </w:p>
          <w:p w:rsidR="00021CE9" w:rsidRPr="004C1F3A" w:rsidRDefault="00021CE9" w:rsidP="00FB1A75">
            <w:pPr>
              <w:spacing w:after="240" w:line="240" w:lineRule="auto"/>
              <w:jc w:val="both"/>
              <w:rPr>
                <w:rFonts w:ascii="Times New Roman" w:hAnsi="Times New Roman"/>
                <w:color w:val="000000"/>
                <w:spacing w:val="-2"/>
              </w:rPr>
            </w:pPr>
            <w:r w:rsidRPr="00021CE9">
              <w:rPr>
                <w:rFonts w:ascii="Times New Roman" w:hAnsi="Times New Roman"/>
                <w:color w:val="000000"/>
                <w:spacing w:val="-2"/>
              </w:rPr>
              <w:lastRenderedPageBreak/>
              <w:t>Projektowane rozwiązanie nie przewiduje gromadzenia danych pochodzących z sektora wytwórczego i przemysłowego, albowiem ten obszar został już uregulowany w ustawie</w:t>
            </w:r>
            <w:r w:rsidR="00471228">
              <w:t xml:space="preserve"> </w:t>
            </w:r>
            <w:r w:rsidR="00471228" w:rsidRPr="00471228">
              <w:rPr>
                <w:rFonts w:ascii="Times New Roman" w:hAnsi="Times New Roman"/>
                <w:color w:val="000000"/>
                <w:spacing w:val="-2"/>
              </w:rPr>
              <w:t xml:space="preserve">z dnia 27 kwietnia 2001 r. </w:t>
            </w:r>
            <w:r w:rsidR="00471228">
              <w:rPr>
                <w:rFonts w:ascii="Times New Roman" w:hAnsi="Times New Roman"/>
                <w:color w:val="000000"/>
                <w:spacing w:val="-2"/>
              </w:rPr>
              <w:t>-</w:t>
            </w:r>
            <w:r w:rsidRPr="00021CE9">
              <w:rPr>
                <w:rFonts w:ascii="Times New Roman" w:hAnsi="Times New Roman"/>
                <w:color w:val="000000"/>
                <w:spacing w:val="-2"/>
              </w:rPr>
              <w:t xml:space="preserve"> Prawo ochrony środowiska i dotyczy źródeł spalania paliw powyżej 1 MW (tzw. wysoka emisja) – wymagających stosownego pozwolenia, o którym mowa w art. 181 ust. 1 pkt 1 i 2 albo zgłoszenia, o którym mowa w art. 152 ust. 1 tej ustawy.</w:t>
            </w:r>
          </w:p>
          <w:p w:rsidR="009F78EA" w:rsidRDefault="009F78EA" w:rsidP="00A36AA4">
            <w:pPr>
              <w:spacing w:line="240" w:lineRule="auto"/>
              <w:jc w:val="both"/>
              <w:rPr>
                <w:rFonts w:ascii="Times New Roman" w:hAnsi="Times New Roman"/>
                <w:color w:val="000000"/>
                <w:spacing w:val="-2"/>
              </w:rPr>
            </w:pPr>
          </w:p>
          <w:p w:rsidR="00A36AA4" w:rsidRPr="00A36AA4" w:rsidRDefault="004C1F3A" w:rsidP="00A36AA4">
            <w:pPr>
              <w:spacing w:line="240" w:lineRule="auto"/>
              <w:jc w:val="both"/>
              <w:rPr>
                <w:rFonts w:ascii="Times New Roman" w:hAnsi="Times New Roman"/>
                <w:color w:val="000000"/>
                <w:spacing w:val="-2"/>
              </w:rPr>
            </w:pPr>
            <w:r w:rsidRPr="004C1F3A">
              <w:rPr>
                <w:rFonts w:ascii="Times New Roman" w:hAnsi="Times New Roman"/>
                <w:color w:val="000000"/>
                <w:spacing w:val="-2"/>
              </w:rPr>
              <w:t>System umożliwia wykrywanie przypadków wielokrotnego finansowania przedsięwzięć objętych programami wsparcia finansowego ze środków publiczny</w:t>
            </w:r>
            <w:r w:rsidR="00A36AA4">
              <w:rPr>
                <w:rFonts w:ascii="Times New Roman" w:hAnsi="Times New Roman"/>
                <w:color w:val="000000"/>
                <w:spacing w:val="-2"/>
              </w:rPr>
              <w:t xml:space="preserve">ch </w:t>
            </w:r>
            <w:r w:rsidR="00A36AA4" w:rsidRPr="00A36AA4">
              <w:rPr>
                <w:rFonts w:ascii="Times New Roman" w:hAnsi="Times New Roman"/>
                <w:color w:val="000000"/>
                <w:spacing w:val="-2"/>
              </w:rPr>
              <w:t>w zakresie:</w:t>
            </w:r>
          </w:p>
          <w:p w:rsidR="00A36AA4" w:rsidRPr="008649EF" w:rsidRDefault="000244E6" w:rsidP="008649EF">
            <w:pPr>
              <w:spacing w:line="240" w:lineRule="auto"/>
              <w:jc w:val="both"/>
              <w:rPr>
                <w:rFonts w:ascii="Times New Roman" w:hAnsi="Times New Roman"/>
                <w:color w:val="000000"/>
                <w:spacing w:val="-2"/>
              </w:rPr>
            </w:pPr>
            <w:r>
              <w:rPr>
                <w:rFonts w:ascii="Times New Roman" w:hAnsi="Times New Roman"/>
                <w:color w:val="000000"/>
                <w:spacing w:val="-2"/>
              </w:rPr>
              <w:t xml:space="preserve">- </w:t>
            </w:r>
            <w:r w:rsidR="00A36AA4" w:rsidRPr="008649EF">
              <w:rPr>
                <w:rFonts w:ascii="Times New Roman" w:hAnsi="Times New Roman"/>
                <w:color w:val="000000"/>
                <w:spacing w:val="-2"/>
              </w:rPr>
              <w:t xml:space="preserve">przedsięwzięć termomodernizacyjnych, przedsięwzięć niskoemisyjnych lub przedsięwzięć remontowych, </w:t>
            </w:r>
          </w:p>
          <w:p w:rsidR="00A36AA4" w:rsidRPr="008649EF" w:rsidRDefault="000244E6" w:rsidP="008649EF">
            <w:pPr>
              <w:spacing w:line="240" w:lineRule="auto"/>
              <w:jc w:val="both"/>
              <w:rPr>
                <w:rFonts w:ascii="Times New Roman" w:hAnsi="Times New Roman"/>
                <w:color w:val="000000"/>
                <w:spacing w:val="-2"/>
              </w:rPr>
            </w:pPr>
            <w:r>
              <w:rPr>
                <w:rFonts w:ascii="Times New Roman" w:hAnsi="Times New Roman"/>
                <w:color w:val="000000"/>
                <w:spacing w:val="-2"/>
              </w:rPr>
              <w:t xml:space="preserve">- </w:t>
            </w:r>
            <w:r w:rsidR="00A36AA4" w:rsidRPr="008649EF">
              <w:rPr>
                <w:rFonts w:ascii="Times New Roman" w:hAnsi="Times New Roman"/>
                <w:color w:val="000000"/>
                <w:spacing w:val="-2"/>
              </w:rPr>
              <w:t>odnawialnych źródeł energii, o których w art. 2 pkt 22 ustawy z dnia 20 lutego 2015 r. o odnawialnych źródłach energii (Dz. U. z 2018 poz. 2389, z późn. zm</w:t>
            </w:r>
            <w:r w:rsidR="0009694D">
              <w:rPr>
                <w:rFonts w:ascii="Times New Roman" w:hAnsi="Times New Roman"/>
                <w:color w:val="000000"/>
                <w:spacing w:val="-2"/>
              </w:rPr>
              <w:t>.</w:t>
            </w:r>
            <w:r w:rsidR="00A36AA4" w:rsidRPr="008649EF">
              <w:rPr>
                <w:rFonts w:ascii="Times New Roman" w:hAnsi="Times New Roman"/>
                <w:color w:val="000000"/>
                <w:spacing w:val="-2"/>
              </w:rPr>
              <w:t xml:space="preserve">), </w:t>
            </w:r>
          </w:p>
          <w:p w:rsidR="009D7611" w:rsidRPr="008649EF" w:rsidRDefault="000244E6" w:rsidP="008649EF">
            <w:pPr>
              <w:spacing w:line="240" w:lineRule="auto"/>
              <w:jc w:val="both"/>
              <w:rPr>
                <w:rFonts w:ascii="Times New Roman" w:hAnsi="Times New Roman"/>
                <w:color w:val="000000"/>
                <w:spacing w:val="-2"/>
              </w:rPr>
            </w:pPr>
            <w:r>
              <w:rPr>
                <w:rFonts w:ascii="Times New Roman" w:hAnsi="Times New Roman"/>
                <w:color w:val="000000"/>
                <w:spacing w:val="-2"/>
              </w:rPr>
              <w:t xml:space="preserve">- </w:t>
            </w:r>
            <w:r w:rsidR="00A36AA4" w:rsidRPr="008649EF">
              <w:rPr>
                <w:rFonts w:ascii="Times New Roman" w:hAnsi="Times New Roman"/>
                <w:color w:val="000000"/>
                <w:spacing w:val="-2"/>
              </w:rPr>
              <w:t xml:space="preserve">innych przedsięwzięć związanych z ochroną powietrza, które są m.in. finansowane w ramach rozwiązań określonych w rozdziale 4 ustawy </w:t>
            </w:r>
            <w:r w:rsidR="0009694D" w:rsidRPr="0009694D">
              <w:rPr>
                <w:rFonts w:ascii="Times New Roman" w:hAnsi="Times New Roman"/>
                <w:color w:val="000000"/>
                <w:spacing w:val="-2"/>
              </w:rPr>
              <w:t>z dnia 27 kwietnia 2001 r. – Prawo ochrony środowiska</w:t>
            </w:r>
            <w:r w:rsidR="0009694D">
              <w:rPr>
                <w:rFonts w:ascii="Times New Roman" w:hAnsi="Times New Roman"/>
                <w:color w:val="000000"/>
                <w:spacing w:val="-2"/>
              </w:rPr>
              <w:t>,</w:t>
            </w:r>
            <w:r w:rsidR="0009694D" w:rsidRPr="0009694D">
              <w:rPr>
                <w:rFonts w:ascii="Times New Roman" w:hAnsi="Times New Roman"/>
                <w:color w:val="000000"/>
                <w:spacing w:val="-2"/>
              </w:rPr>
              <w:t xml:space="preserve"> </w:t>
            </w:r>
            <w:r w:rsidR="00A36AA4" w:rsidRPr="008649EF">
              <w:rPr>
                <w:rFonts w:ascii="Times New Roman" w:hAnsi="Times New Roman"/>
                <w:color w:val="000000"/>
                <w:spacing w:val="-2"/>
              </w:rPr>
              <w:t>czy też działań wspierających inwestycje</w:t>
            </w:r>
            <w:r w:rsidR="009D7611" w:rsidRPr="008649EF">
              <w:rPr>
                <w:rFonts w:ascii="Times New Roman" w:hAnsi="Times New Roman"/>
                <w:color w:val="000000"/>
                <w:spacing w:val="-2"/>
              </w:rPr>
              <w:t xml:space="preserve"> </w:t>
            </w:r>
            <w:r w:rsidR="00A36AA4" w:rsidRPr="008649EF">
              <w:rPr>
                <w:rFonts w:ascii="Times New Roman" w:hAnsi="Times New Roman"/>
                <w:color w:val="000000"/>
                <w:spacing w:val="-2"/>
              </w:rPr>
              <w:t>budynk</w:t>
            </w:r>
            <w:r w:rsidR="009D7611" w:rsidRPr="008649EF">
              <w:rPr>
                <w:rFonts w:ascii="Times New Roman" w:hAnsi="Times New Roman"/>
                <w:color w:val="000000"/>
                <w:spacing w:val="-2"/>
              </w:rPr>
              <w:t>ów</w:t>
            </w:r>
            <w:r w:rsidR="00A36AA4" w:rsidRPr="008649EF">
              <w:rPr>
                <w:rFonts w:ascii="Times New Roman" w:hAnsi="Times New Roman"/>
                <w:color w:val="000000"/>
                <w:spacing w:val="-2"/>
              </w:rPr>
              <w:t xml:space="preserve"> </w:t>
            </w:r>
            <w:r w:rsidR="009D7611" w:rsidRPr="008649EF">
              <w:rPr>
                <w:rFonts w:ascii="Times New Roman" w:hAnsi="Times New Roman"/>
                <w:color w:val="000000"/>
                <w:spacing w:val="-2"/>
              </w:rPr>
              <w:t>przez</w:t>
            </w:r>
            <w:r w:rsidR="00A36AA4" w:rsidRPr="008649EF">
              <w:rPr>
                <w:rFonts w:ascii="Times New Roman" w:hAnsi="Times New Roman"/>
                <w:color w:val="000000"/>
                <w:spacing w:val="-2"/>
              </w:rPr>
              <w:t xml:space="preserve"> jednostki samorządu terytorialnego (gmina, powiat, województwo) w ramach różnych programów pomocowych realizowanych z wykorzystaniem środków publicznych.  </w:t>
            </w:r>
            <w:r w:rsidR="004C1F3A" w:rsidRPr="008649EF">
              <w:rPr>
                <w:rFonts w:ascii="Times New Roman" w:hAnsi="Times New Roman"/>
                <w:color w:val="000000"/>
                <w:spacing w:val="-2"/>
              </w:rPr>
              <w:t xml:space="preserve"> </w:t>
            </w:r>
          </w:p>
          <w:p w:rsidR="009F78EA" w:rsidRDefault="009F78EA" w:rsidP="00A36AA4">
            <w:pPr>
              <w:spacing w:line="240" w:lineRule="auto"/>
              <w:jc w:val="both"/>
              <w:rPr>
                <w:rFonts w:ascii="Times New Roman" w:hAnsi="Times New Roman"/>
                <w:color w:val="000000"/>
                <w:spacing w:val="-2"/>
              </w:rPr>
            </w:pPr>
          </w:p>
          <w:p w:rsidR="00564D25" w:rsidRDefault="009D7611" w:rsidP="00A36AA4">
            <w:pPr>
              <w:spacing w:line="240" w:lineRule="auto"/>
              <w:jc w:val="both"/>
              <w:rPr>
                <w:rFonts w:ascii="Times New Roman" w:hAnsi="Times New Roman"/>
                <w:color w:val="000000"/>
                <w:spacing w:val="-2"/>
              </w:rPr>
            </w:pPr>
            <w:r>
              <w:rPr>
                <w:rFonts w:ascii="Times New Roman" w:hAnsi="Times New Roman"/>
                <w:color w:val="000000"/>
                <w:spacing w:val="-2"/>
              </w:rPr>
              <w:t>Środki publiczne w powyższym zakresie, u</w:t>
            </w:r>
            <w:r w:rsidR="004C1F3A" w:rsidRPr="004C1F3A">
              <w:rPr>
                <w:rFonts w:ascii="Times New Roman" w:hAnsi="Times New Roman"/>
                <w:color w:val="000000"/>
                <w:spacing w:val="-2"/>
              </w:rPr>
              <w:t xml:space="preserve">dzielane </w:t>
            </w:r>
            <w:r>
              <w:rPr>
                <w:rFonts w:ascii="Times New Roman" w:hAnsi="Times New Roman"/>
                <w:color w:val="000000"/>
                <w:spacing w:val="-2"/>
              </w:rPr>
              <w:t xml:space="preserve">są </w:t>
            </w:r>
            <w:r w:rsidR="004C1F3A" w:rsidRPr="004C1F3A">
              <w:rPr>
                <w:rFonts w:ascii="Times New Roman" w:hAnsi="Times New Roman"/>
                <w:color w:val="000000"/>
                <w:spacing w:val="-2"/>
              </w:rPr>
              <w:t>przez różne podmioty w skali całego kraju</w:t>
            </w:r>
            <w:r>
              <w:rPr>
                <w:rFonts w:ascii="Times New Roman" w:hAnsi="Times New Roman"/>
                <w:color w:val="000000"/>
                <w:spacing w:val="-2"/>
              </w:rPr>
              <w:t>,</w:t>
            </w:r>
            <w:r w:rsidR="004C1F3A" w:rsidRPr="004C1F3A">
              <w:rPr>
                <w:rFonts w:ascii="Times New Roman" w:hAnsi="Times New Roman"/>
                <w:color w:val="000000"/>
                <w:spacing w:val="-2"/>
              </w:rPr>
              <w:t xml:space="preserve"> w ramach różnych programów pomocowych, np. Czyste Powietrze, Program Infrastruktura i Środowisko, Regionalne Programy Operacyjne, itp. Na dzień dzisiejszy środki publiczne są redystrybuowane w ramach programów pomocowych m. in. przez: </w:t>
            </w:r>
            <w:r w:rsidR="00183E97">
              <w:rPr>
                <w:rFonts w:ascii="Times New Roman" w:hAnsi="Times New Roman"/>
                <w:color w:val="000000"/>
                <w:spacing w:val="-2"/>
              </w:rPr>
              <w:t>NFOŚiGW</w:t>
            </w:r>
            <w:r w:rsidR="004C1F3A" w:rsidRPr="004C1F3A">
              <w:rPr>
                <w:rFonts w:ascii="Times New Roman" w:hAnsi="Times New Roman"/>
                <w:color w:val="000000"/>
                <w:spacing w:val="-2"/>
              </w:rPr>
              <w:t xml:space="preserve">, 16 </w:t>
            </w:r>
            <w:r w:rsidR="00183E97">
              <w:rPr>
                <w:rFonts w:ascii="Times New Roman" w:hAnsi="Times New Roman"/>
                <w:color w:val="000000"/>
                <w:spacing w:val="-2"/>
              </w:rPr>
              <w:t>WFOŚiGW</w:t>
            </w:r>
            <w:r w:rsidR="004C1F3A" w:rsidRPr="004C1F3A">
              <w:rPr>
                <w:rFonts w:ascii="Times New Roman" w:hAnsi="Times New Roman"/>
                <w:color w:val="000000"/>
                <w:spacing w:val="-2"/>
              </w:rPr>
              <w:t>, jednostki samorządu terytorialnego i ich związki (na szczeblu gminnym, powiatowym, wojewódzkim), Bank Gospodarstwa Krajowego. Każda z tych instytucji działają</w:t>
            </w:r>
            <w:r w:rsidR="00CF6111">
              <w:rPr>
                <w:rFonts w:ascii="Times New Roman" w:hAnsi="Times New Roman"/>
                <w:color w:val="000000"/>
                <w:spacing w:val="-2"/>
              </w:rPr>
              <w:t>c niezależnie, przeznacza środki</w:t>
            </w:r>
            <w:r w:rsidR="004C1F3A" w:rsidRPr="004C1F3A">
              <w:rPr>
                <w:rFonts w:ascii="Times New Roman" w:hAnsi="Times New Roman"/>
                <w:color w:val="000000"/>
                <w:spacing w:val="-2"/>
              </w:rPr>
              <w:t xml:space="preserve"> publiczne na podobne cele, np. na przedsięwzięcia termomodernizacyjne budynków. Brak wymiany jakichkolwiek informacji pomiędzy tymi podmiotami sprawia, że istnieje możliwość składania wniosków o dofinansowanie w ramach różnych programów pomocowych, co w efekcie może prowadzić do wielokrotnego dofinansowania tych samych przedsięwzięć, a w konsekwencji może powodować defraudację środków publicznych. Zdarza się bowiem, że dofinansowanie ze środków publicznych na wymianę np. okien, ma miejsce w ramach różnych programów świadczonych przez różne instytucje, które nie posiadają żadnego narzędzia do weryfikacji udzielanych dofinansowań. W celu wyeliminowania możliwości wielokrotnego wykorzystywania środków publicznych na ten sam cel, przewiduje się rozwiązanie </w:t>
            </w:r>
            <w:r w:rsidR="004C1F3A" w:rsidRPr="0076384B">
              <w:rPr>
                <w:rFonts w:ascii="Times New Roman" w:hAnsi="Times New Roman"/>
                <w:color w:val="000000"/>
                <w:spacing w:val="-2"/>
              </w:rPr>
              <w:t>scentralizowane w jednym miejscu, tj. w ramach tworzonej</w:t>
            </w:r>
            <w:r w:rsidRPr="0076384B">
              <w:rPr>
                <w:rFonts w:ascii="Times New Roman" w:hAnsi="Times New Roman"/>
                <w:color w:val="000000"/>
                <w:spacing w:val="-2"/>
              </w:rPr>
              <w:t xml:space="preserve"> CEEB</w:t>
            </w:r>
            <w:r w:rsidR="0002666E">
              <w:rPr>
                <w:rFonts w:ascii="Times New Roman" w:hAnsi="Times New Roman"/>
                <w:color w:val="000000"/>
                <w:spacing w:val="-2"/>
              </w:rPr>
              <w:t xml:space="preserve">. </w:t>
            </w:r>
            <w:r w:rsidR="004C1F3A" w:rsidRPr="004C1F3A">
              <w:rPr>
                <w:rFonts w:ascii="Times New Roman" w:hAnsi="Times New Roman"/>
                <w:color w:val="000000"/>
                <w:spacing w:val="-2"/>
              </w:rPr>
              <w:t xml:space="preserve">Zasilenie </w:t>
            </w:r>
            <w:r w:rsidR="001B67EC">
              <w:rPr>
                <w:rFonts w:ascii="Times New Roman" w:hAnsi="Times New Roman"/>
                <w:color w:val="000000"/>
                <w:spacing w:val="-2"/>
              </w:rPr>
              <w:t>CEEB</w:t>
            </w:r>
            <w:r w:rsidR="001B67EC" w:rsidRPr="004C1F3A">
              <w:rPr>
                <w:rFonts w:ascii="Times New Roman" w:hAnsi="Times New Roman"/>
                <w:color w:val="000000"/>
                <w:spacing w:val="-2"/>
              </w:rPr>
              <w:t xml:space="preserve"> </w:t>
            </w:r>
            <w:r w:rsidR="004C1F3A" w:rsidRPr="004C1F3A">
              <w:rPr>
                <w:rFonts w:ascii="Times New Roman" w:hAnsi="Times New Roman"/>
                <w:color w:val="000000"/>
                <w:spacing w:val="-2"/>
              </w:rPr>
              <w:t xml:space="preserve">w tym zakresie nastąpi przez podmioty udzielające wsparcia finansowego ze środków publicznych, w tym przede wszystkim przez </w:t>
            </w:r>
            <w:r w:rsidR="00183E97">
              <w:rPr>
                <w:rFonts w:ascii="Times New Roman" w:hAnsi="Times New Roman"/>
                <w:color w:val="000000"/>
                <w:spacing w:val="-2"/>
              </w:rPr>
              <w:t>NFOŚiGW</w:t>
            </w:r>
            <w:r w:rsidR="004C1F3A" w:rsidRPr="004C1F3A">
              <w:rPr>
                <w:rFonts w:ascii="Times New Roman" w:hAnsi="Times New Roman"/>
                <w:color w:val="000000"/>
                <w:spacing w:val="-2"/>
              </w:rPr>
              <w:t xml:space="preserve">, 16 </w:t>
            </w:r>
            <w:r w:rsidR="00183E97">
              <w:rPr>
                <w:rFonts w:ascii="Times New Roman" w:hAnsi="Times New Roman"/>
                <w:color w:val="000000"/>
                <w:spacing w:val="-2"/>
              </w:rPr>
              <w:t>WFOŚiGW</w:t>
            </w:r>
            <w:r w:rsidR="004C1F3A" w:rsidRPr="004C1F3A">
              <w:rPr>
                <w:rFonts w:ascii="Times New Roman" w:hAnsi="Times New Roman"/>
                <w:color w:val="000000"/>
                <w:spacing w:val="-2"/>
              </w:rPr>
              <w:t>, jednostki samorządu terytorialnego i ich związki</w:t>
            </w:r>
            <w:r w:rsidR="001E0F58">
              <w:rPr>
                <w:rFonts w:ascii="Times New Roman" w:hAnsi="Times New Roman"/>
                <w:color w:val="000000"/>
                <w:spacing w:val="-2"/>
              </w:rPr>
              <w:t xml:space="preserve"> oraz przez</w:t>
            </w:r>
            <w:r w:rsidR="004C1F3A" w:rsidRPr="004C1F3A">
              <w:rPr>
                <w:rFonts w:ascii="Times New Roman" w:hAnsi="Times New Roman"/>
                <w:color w:val="000000"/>
                <w:spacing w:val="-2"/>
              </w:rPr>
              <w:t xml:space="preserve"> Bank Gospodarstwa Krajo</w:t>
            </w:r>
            <w:r w:rsidR="00564D25">
              <w:rPr>
                <w:rFonts w:ascii="Times New Roman" w:hAnsi="Times New Roman"/>
                <w:color w:val="000000"/>
                <w:spacing w:val="-2"/>
              </w:rPr>
              <w:t>wego.</w:t>
            </w:r>
          </w:p>
          <w:p w:rsidR="009F78EA" w:rsidRDefault="009F78EA" w:rsidP="004C1F3A">
            <w:pPr>
              <w:spacing w:line="240" w:lineRule="auto"/>
              <w:jc w:val="both"/>
              <w:rPr>
                <w:rFonts w:ascii="Times New Roman" w:hAnsi="Times New Roman"/>
                <w:color w:val="000000"/>
                <w:spacing w:val="-2"/>
              </w:rPr>
            </w:pPr>
          </w:p>
          <w:p w:rsidR="009F78EA" w:rsidRDefault="004C1F3A" w:rsidP="004C1F3A">
            <w:pPr>
              <w:spacing w:line="240" w:lineRule="auto"/>
              <w:jc w:val="both"/>
              <w:rPr>
                <w:rFonts w:ascii="Times New Roman" w:hAnsi="Times New Roman"/>
                <w:color w:val="000000"/>
                <w:spacing w:val="-2"/>
              </w:rPr>
            </w:pPr>
            <w:r w:rsidRPr="004C1F3A">
              <w:rPr>
                <w:rFonts w:ascii="Times New Roman" w:hAnsi="Times New Roman"/>
                <w:color w:val="000000"/>
                <w:spacing w:val="-2"/>
              </w:rPr>
              <w:t>Udostępnienie danych właścicielom budynków do własnych danych</w:t>
            </w:r>
            <w:r w:rsidR="001E0F58">
              <w:rPr>
                <w:rFonts w:ascii="Times New Roman" w:hAnsi="Times New Roman"/>
                <w:color w:val="000000"/>
                <w:spacing w:val="-2"/>
              </w:rPr>
              <w:t>,</w:t>
            </w:r>
            <w:r w:rsidRPr="004C1F3A">
              <w:rPr>
                <w:rFonts w:ascii="Times New Roman" w:hAnsi="Times New Roman"/>
                <w:color w:val="000000"/>
                <w:spacing w:val="-2"/>
              </w:rPr>
              <w:t xml:space="preserve"> przyczyni się do zlikwidowania uciążliwości związanej obecnie z dostępem do danych dotyczących możliwych form dofinansowania. Możliwe będzie </w:t>
            </w:r>
            <w:r w:rsidR="0076384B">
              <w:rPr>
                <w:rFonts w:ascii="Times New Roman" w:hAnsi="Times New Roman"/>
                <w:color w:val="000000"/>
                <w:spacing w:val="-2"/>
              </w:rPr>
              <w:t xml:space="preserve">bowiem </w:t>
            </w:r>
            <w:r w:rsidRPr="004C1F3A">
              <w:rPr>
                <w:rFonts w:ascii="Times New Roman" w:hAnsi="Times New Roman"/>
                <w:color w:val="000000"/>
                <w:spacing w:val="-2"/>
              </w:rPr>
              <w:t xml:space="preserve">bieżące monitorowanie informacji na temat dostępnych środków finansowych na przedsięwzięcia związane z ochroną powietrza, w tym na termomodernizację budynku albo wymianę </w:t>
            </w:r>
            <w:r w:rsidR="0076384B">
              <w:rPr>
                <w:rFonts w:ascii="Times New Roman" w:hAnsi="Times New Roman"/>
                <w:color w:val="000000"/>
                <w:spacing w:val="-2"/>
              </w:rPr>
              <w:t xml:space="preserve">„kopciuchów” </w:t>
            </w:r>
            <w:r w:rsidRPr="004C1F3A">
              <w:rPr>
                <w:rFonts w:ascii="Times New Roman" w:hAnsi="Times New Roman"/>
                <w:color w:val="000000"/>
                <w:spacing w:val="-2"/>
              </w:rPr>
              <w:t>w ramach środków publiczn</w:t>
            </w:r>
            <w:r w:rsidR="0076384B">
              <w:rPr>
                <w:rFonts w:ascii="Times New Roman" w:hAnsi="Times New Roman"/>
                <w:color w:val="000000"/>
                <w:spacing w:val="-2"/>
              </w:rPr>
              <w:t>ych</w:t>
            </w:r>
            <w:r w:rsidRPr="004C1F3A">
              <w:rPr>
                <w:rFonts w:ascii="Times New Roman" w:hAnsi="Times New Roman"/>
                <w:color w:val="000000"/>
                <w:spacing w:val="-2"/>
              </w:rPr>
              <w:t>. System pełni w tym zakresie rolę koordynatora przyznawanych dofinansowań środków publicznych, realizowanych na różnych płaszczyznach – przez różne podmioty i z różnych źródeł. Centralizacja informacji sprawi, że otrzymanie dofinansowania na przedsięwzięcie związane z ochroną środowiska stanie się bardziej przystępne dla obywateli, którzy w wielu przypadkach z uwagi na brak świadomości i wiedzy, co do istniejących wariantów wsparcia, nie są w stanie niestety pozyskać st</w:t>
            </w:r>
            <w:r w:rsidR="00490C02">
              <w:rPr>
                <w:rFonts w:ascii="Times New Roman" w:hAnsi="Times New Roman"/>
                <w:color w:val="000000"/>
                <w:spacing w:val="-2"/>
              </w:rPr>
              <w:t xml:space="preserve">osownego wsparcia finansowego. </w:t>
            </w:r>
          </w:p>
          <w:p w:rsidR="004C1F3A" w:rsidRDefault="004C1F3A" w:rsidP="004C1F3A">
            <w:pPr>
              <w:spacing w:line="240" w:lineRule="auto"/>
              <w:jc w:val="both"/>
              <w:rPr>
                <w:rFonts w:ascii="Times New Roman" w:hAnsi="Times New Roman"/>
                <w:color w:val="000000"/>
                <w:spacing w:val="-2"/>
              </w:rPr>
            </w:pPr>
            <w:r w:rsidRPr="004C1F3A">
              <w:rPr>
                <w:rFonts w:ascii="Times New Roman" w:hAnsi="Times New Roman"/>
                <w:color w:val="000000"/>
                <w:spacing w:val="-2"/>
              </w:rPr>
              <w:t xml:space="preserve">W chwili obecnej </w:t>
            </w:r>
            <w:r w:rsidR="0076384B">
              <w:rPr>
                <w:rFonts w:ascii="Times New Roman" w:hAnsi="Times New Roman"/>
                <w:color w:val="000000"/>
                <w:spacing w:val="-2"/>
              </w:rPr>
              <w:t>jednostki samorządu terytorialnego</w:t>
            </w:r>
            <w:r w:rsidRPr="004C1F3A">
              <w:rPr>
                <w:rFonts w:ascii="Times New Roman" w:hAnsi="Times New Roman"/>
                <w:color w:val="000000"/>
                <w:spacing w:val="-2"/>
              </w:rPr>
              <w:t xml:space="preserve"> nie posiadają ogólnodostępnego narzędzia pozwalającego na </w:t>
            </w:r>
            <w:r w:rsidR="0076384B">
              <w:rPr>
                <w:rFonts w:ascii="Times New Roman" w:hAnsi="Times New Roman"/>
                <w:color w:val="000000"/>
                <w:spacing w:val="-2"/>
              </w:rPr>
              <w:t xml:space="preserve">inwentaryzację budynków, w tym </w:t>
            </w:r>
            <w:r w:rsidRPr="004C1F3A">
              <w:rPr>
                <w:rFonts w:ascii="Times New Roman" w:hAnsi="Times New Roman"/>
                <w:color w:val="000000"/>
                <w:spacing w:val="-2"/>
              </w:rPr>
              <w:t xml:space="preserve">gromadzenie </w:t>
            </w:r>
            <w:r w:rsidR="0076384B">
              <w:rPr>
                <w:rFonts w:ascii="Times New Roman" w:hAnsi="Times New Roman"/>
                <w:color w:val="000000"/>
                <w:spacing w:val="-2"/>
              </w:rPr>
              <w:t xml:space="preserve">danych </w:t>
            </w:r>
            <w:r w:rsidRPr="004C1F3A">
              <w:rPr>
                <w:rFonts w:ascii="Times New Roman" w:hAnsi="Times New Roman"/>
                <w:color w:val="000000"/>
                <w:spacing w:val="-2"/>
              </w:rPr>
              <w:t>w sposób usystematyzowany i ujednolicony w skali całego kraju. Trudno również wskazywać na istniejące systemy informatyczne w tym zakresie na poziomie lokalnym, albowiem poza nielicznymi przypadkami (np. Kraków) rozwiązania taki</w:t>
            </w:r>
            <w:r w:rsidR="00490C02">
              <w:rPr>
                <w:rFonts w:ascii="Times New Roman" w:hAnsi="Times New Roman"/>
                <w:color w:val="000000"/>
                <w:spacing w:val="-2"/>
              </w:rPr>
              <w:t xml:space="preserve">e nie zostały nigdzie </w:t>
            </w:r>
            <w:r w:rsidR="0076384B">
              <w:rPr>
                <w:rFonts w:ascii="Times New Roman" w:hAnsi="Times New Roman"/>
                <w:color w:val="000000"/>
                <w:spacing w:val="-2"/>
              </w:rPr>
              <w:t xml:space="preserve">uruchomione i </w:t>
            </w:r>
            <w:r w:rsidR="00490C02">
              <w:rPr>
                <w:rFonts w:ascii="Times New Roman" w:hAnsi="Times New Roman"/>
                <w:color w:val="000000"/>
                <w:spacing w:val="-2"/>
              </w:rPr>
              <w:t>wdrożone.</w:t>
            </w:r>
            <w:r w:rsidRPr="004C1F3A">
              <w:rPr>
                <w:rFonts w:ascii="Times New Roman" w:hAnsi="Times New Roman"/>
                <w:color w:val="000000"/>
                <w:spacing w:val="-2"/>
              </w:rPr>
              <w:t xml:space="preserve"> W nielicznych gminach w skali kraju prowadzone są inwentaryzacje budynków, w tym przede wszystkim źródeł spalania paliw, które przeprowadzane są przez pracowników gminnych, ewentualnie w formie usług zewnętrznych zlecanych podmiotom trzecim, które przeprowadzają ankiety wśród użytkowników źródeł spalania paliw. Dane gromadzone w te</w:t>
            </w:r>
            <w:r>
              <w:rPr>
                <w:rFonts w:ascii="Times New Roman" w:hAnsi="Times New Roman"/>
                <w:color w:val="000000"/>
                <w:spacing w:val="-2"/>
              </w:rPr>
              <w:t>n sposób gromadzone są zwykle w</w:t>
            </w:r>
            <w:r w:rsidRPr="004C1F3A">
              <w:rPr>
                <w:rFonts w:ascii="Times New Roman" w:hAnsi="Times New Roman"/>
                <w:color w:val="000000"/>
                <w:spacing w:val="-2"/>
              </w:rPr>
              <w:t xml:space="preserve"> </w:t>
            </w:r>
            <w:r w:rsidR="0076384B">
              <w:rPr>
                <w:rFonts w:ascii="Times New Roman" w:hAnsi="Times New Roman"/>
                <w:color w:val="000000"/>
                <w:spacing w:val="-2"/>
              </w:rPr>
              <w:t xml:space="preserve">formie papierowej (w </w:t>
            </w:r>
            <w:r w:rsidRPr="004C1F3A">
              <w:rPr>
                <w:rFonts w:ascii="Times New Roman" w:hAnsi="Times New Roman"/>
                <w:color w:val="000000"/>
                <w:spacing w:val="-2"/>
              </w:rPr>
              <w:t>„</w:t>
            </w:r>
            <w:r w:rsidR="00DE3173">
              <w:rPr>
                <w:rFonts w:ascii="Times New Roman" w:hAnsi="Times New Roman"/>
                <w:color w:val="000000"/>
                <w:spacing w:val="-2"/>
              </w:rPr>
              <w:t>E</w:t>
            </w:r>
            <w:r w:rsidRPr="004C1F3A">
              <w:rPr>
                <w:rFonts w:ascii="Times New Roman" w:hAnsi="Times New Roman"/>
                <w:color w:val="000000"/>
                <w:spacing w:val="-2"/>
              </w:rPr>
              <w:t>xcelu”</w:t>
            </w:r>
            <w:r w:rsidR="0076384B">
              <w:rPr>
                <w:rFonts w:ascii="Times New Roman" w:hAnsi="Times New Roman"/>
                <w:color w:val="000000"/>
                <w:spacing w:val="-2"/>
              </w:rPr>
              <w:t>)</w:t>
            </w:r>
            <w:r w:rsidRPr="004C1F3A">
              <w:rPr>
                <w:rFonts w:ascii="Times New Roman" w:hAnsi="Times New Roman"/>
                <w:color w:val="000000"/>
                <w:spacing w:val="-2"/>
              </w:rPr>
              <w:t xml:space="preserve">. Zbieranie tych danych odbywa się w </w:t>
            </w:r>
            <w:r w:rsidR="0076384B">
              <w:rPr>
                <w:rFonts w:ascii="Times New Roman" w:hAnsi="Times New Roman"/>
                <w:color w:val="000000"/>
                <w:spacing w:val="-2"/>
              </w:rPr>
              <w:t xml:space="preserve">co do zasady </w:t>
            </w:r>
            <w:r w:rsidRPr="004C1F3A">
              <w:rPr>
                <w:rFonts w:ascii="Times New Roman" w:hAnsi="Times New Roman"/>
                <w:color w:val="000000"/>
                <w:spacing w:val="-2"/>
              </w:rPr>
              <w:t xml:space="preserve">przez zadawanie </w:t>
            </w:r>
            <w:r w:rsidRPr="004C1F3A">
              <w:rPr>
                <w:rFonts w:ascii="Times New Roman" w:hAnsi="Times New Roman"/>
                <w:color w:val="000000"/>
                <w:spacing w:val="-2"/>
              </w:rPr>
              <w:lastRenderedPageBreak/>
              <w:t>pytań mieszkańcom. Budowane narzędzi</w:t>
            </w:r>
            <w:r w:rsidR="0079696E">
              <w:rPr>
                <w:rFonts w:ascii="Times New Roman" w:hAnsi="Times New Roman"/>
                <w:color w:val="000000"/>
                <w:spacing w:val="-2"/>
              </w:rPr>
              <w:t>e informatyczne w pełni realizuje</w:t>
            </w:r>
            <w:r w:rsidRPr="004C1F3A">
              <w:rPr>
                <w:rFonts w:ascii="Times New Roman" w:hAnsi="Times New Roman"/>
                <w:color w:val="000000"/>
                <w:spacing w:val="-2"/>
              </w:rPr>
              <w:t xml:space="preserve"> tym samym potrzeby i oczekiwania </w:t>
            </w:r>
            <w:r w:rsidR="00F25C76">
              <w:rPr>
                <w:rFonts w:ascii="Times New Roman" w:hAnsi="Times New Roman"/>
                <w:color w:val="000000"/>
                <w:spacing w:val="-2"/>
              </w:rPr>
              <w:t>jednostek samorządu terytorialnego</w:t>
            </w:r>
            <w:r w:rsidRPr="004C1F3A">
              <w:rPr>
                <w:rFonts w:ascii="Times New Roman" w:hAnsi="Times New Roman"/>
                <w:color w:val="000000"/>
                <w:spacing w:val="-2"/>
              </w:rPr>
              <w:t xml:space="preserve"> w zakresie zbierania, przetwarzania oraz gromadzenia koniecznych informacji i danych dotyczących niskiej emisji, a wynikających z programów ochrony powietrza. </w:t>
            </w:r>
            <w:r w:rsidR="000D0175" w:rsidRPr="000D0175">
              <w:rPr>
                <w:rFonts w:ascii="Times New Roman" w:hAnsi="Times New Roman"/>
                <w:color w:val="000000"/>
                <w:spacing w:val="-2"/>
              </w:rPr>
              <w:t xml:space="preserve">Należy jednocześnie dodać, że gminy już obecnie są zobowiązane do inwentaryzacji źródeł ogrzewania budynków na swoim obszarze. Obowiązek ten wynika z Programów Ochrony Powietrza przyjmowanych przez sejmiki województw jako działanie naprawcze w celu ograniczenia niskiej emisji. Programy Ochrony Powietrza opracowywane są na podstawie art. 91 ustawy </w:t>
            </w:r>
            <w:r w:rsidR="00471228" w:rsidRPr="00471228">
              <w:rPr>
                <w:rFonts w:ascii="Times New Roman" w:hAnsi="Times New Roman"/>
                <w:color w:val="000000"/>
                <w:spacing w:val="-2"/>
              </w:rPr>
              <w:t xml:space="preserve">z dnia 27 kwietnia 2001 r. </w:t>
            </w:r>
            <w:r w:rsidR="00471228">
              <w:rPr>
                <w:rFonts w:ascii="Times New Roman" w:hAnsi="Times New Roman"/>
                <w:color w:val="000000"/>
                <w:spacing w:val="-2"/>
              </w:rPr>
              <w:t xml:space="preserve">- </w:t>
            </w:r>
            <w:r w:rsidR="000D0175" w:rsidRPr="000D0175">
              <w:rPr>
                <w:rFonts w:ascii="Times New Roman" w:hAnsi="Times New Roman"/>
                <w:color w:val="000000"/>
                <w:spacing w:val="-2"/>
              </w:rPr>
              <w:t xml:space="preserve">Prawo ochrony środowiska oraz art. 23 </w:t>
            </w:r>
            <w:r w:rsidR="00471228">
              <w:rPr>
                <w:rFonts w:ascii="Times New Roman" w:hAnsi="Times New Roman"/>
                <w:color w:val="000000"/>
                <w:spacing w:val="-2"/>
              </w:rPr>
              <w:t>dyrektywy</w:t>
            </w:r>
            <w:r w:rsidR="000D0175" w:rsidRPr="000D0175">
              <w:rPr>
                <w:rFonts w:ascii="Times New Roman" w:hAnsi="Times New Roman"/>
                <w:color w:val="000000"/>
                <w:spacing w:val="-2"/>
              </w:rPr>
              <w:t xml:space="preserve">, a ich celem jest osiągnięcie dopuszczalnych poziomów zanieczyszczeń w powietrzu. Zebranie, weryfikacja i monitorowanie danych o ogrzewaniu budynków i źródłach spalania paliw jest również niezbędne w celu wdrażania tzw. „uchwał antysmogowych” przyjmowanych na podstawie art. 96 ustawy </w:t>
            </w:r>
            <w:r w:rsidR="00471228" w:rsidRPr="00471228">
              <w:rPr>
                <w:rFonts w:ascii="Times New Roman" w:hAnsi="Times New Roman"/>
                <w:color w:val="000000"/>
                <w:spacing w:val="-2"/>
              </w:rPr>
              <w:t xml:space="preserve">z dnia 27 kwietnia 2001 r. </w:t>
            </w:r>
            <w:r w:rsidR="00471228">
              <w:rPr>
                <w:rFonts w:ascii="Times New Roman" w:hAnsi="Times New Roman"/>
                <w:color w:val="000000"/>
                <w:spacing w:val="-2"/>
              </w:rPr>
              <w:t xml:space="preserve">- </w:t>
            </w:r>
            <w:r w:rsidR="000D0175" w:rsidRPr="000D0175">
              <w:rPr>
                <w:rFonts w:ascii="Times New Roman" w:hAnsi="Times New Roman"/>
                <w:color w:val="000000"/>
                <w:spacing w:val="-2"/>
              </w:rPr>
              <w:t>Prawo ochrony środowiska. Wdrożenie CEEB stanowi wsparcie dla realizacji działań gmin w tym obszarze i umożliwi zmniejszenie kosztów inwentaryzacji źródeł ogrzewania (koszty zleceń dla firm zewnętrznych, koszty inwentaryzacji prowadzonych przez pracowników gminnych). Elektroniczna baza danych będzie ułatwieniem w zbieraniu danych od mieszkańców. Dane gromadzone w CEEB będą stanowiły również cenne źródło informacji do planowania i organizacji zaopatrzenia w ciepło, energię elektryczną i paliwa gazowe na obszarze gminy, co jest zadaniem własnym gminy wynikającym z art. 18 ustawy</w:t>
            </w:r>
            <w:r w:rsidR="00471228">
              <w:rPr>
                <w:rFonts w:ascii="Times New Roman" w:hAnsi="Times New Roman"/>
                <w:color w:val="000000"/>
                <w:spacing w:val="-2"/>
              </w:rPr>
              <w:t xml:space="preserve"> z dnia </w:t>
            </w:r>
            <w:r w:rsidR="00601C7D">
              <w:rPr>
                <w:rFonts w:ascii="Times New Roman" w:hAnsi="Times New Roman"/>
                <w:color w:val="000000"/>
                <w:spacing w:val="-2"/>
              </w:rPr>
              <w:t>10 kwietnia 1997 r. -</w:t>
            </w:r>
            <w:r w:rsidR="000D0175" w:rsidRPr="000D0175">
              <w:rPr>
                <w:rFonts w:ascii="Times New Roman" w:hAnsi="Times New Roman"/>
                <w:color w:val="000000"/>
                <w:spacing w:val="-2"/>
              </w:rPr>
              <w:t xml:space="preserve"> Prawo energetyczne</w:t>
            </w:r>
            <w:r w:rsidR="00601C7D">
              <w:rPr>
                <w:rFonts w:ascii="Times New Roman" w:hAnsi="Times New Roman"/>
                <w:color w:val="000000"/>
                <w:spacing w:val="-2"/>
              </w:rPr>
              <w:t xml:space="preserve"> </w:t>
            </w:r>
            <w:r w:rsidR="00601C7D" w:rsidRPr="00601C7D">
              <w:rPr>
                <w:rFonts w:ascii="Times New Roman" w:hAnsi="Times New Roman"/>
                <w:color w:val="000000"/>
                <w:spacing w:val="-2"/>
              </w:rPr>
              <w:t>(Dz. U. z 2019 r. poz. 755, z późn. zm.)</w:t>
            </w:r>
            <w:r w:rsidR="000D0175" w:rsidRPr="000D0175">
              <w:rPr>
                <w:rFonts w:ascii="Times New Roman" w:hAnsi="Times New Roman"/>
                <w:color w:val="000000"/>
                <w:spacing w:val="-2"/>
              </w:rPr>
              <w:t>. Projektowane rozwiązanie stanowić będzie instrument wsparcia dla podejmowanych w tym zakresie działań. W związku z tym nie przewiduje się dodatkowego  finansowania administracji samorządowej z tego tytułu.</w:t>
            </w:r>
            <w:r w:rsidRPr="004C1F3A">
              <w:rPr>
                <w:rFonts w:ascii="Times New Roman" w:hAnsi="Times New Roman"/>
                <w:color w:val="000000"/>
                <w:spacing w:val="-2"/>
              </w:rPr>
              <w:t xml:space="preserve"> </w:t>
            </w:r>
          </w:p>
          <w:p w:rsidR="00183473" w:rsidRPr="00183473" w:rsidRDefault="00183473" w:rsidP="00FB1A75">
            <w:pPr>
              <w:spacing w:before="240" w:line="240" w:lineRule="auto"/>
              <w:jc w:val="both"/>
              <w:rPr>
                <w:rFonts w:ascii="Times New Roman" w:hAnsi="Times New Roman"/>
                <w:color w:val="000000"/>
                <w:spacing w:val="-2"/>
              </w:rPr>
            </w:pPr>
            <w:r>
              <w:rPr>
                <w:rFonts w:ascii="Times New Roman" w:hAnsi="Times New Roman"/>
                <w:color w:val="000000"/>
                <w:spacing w:val="-2"/>
              </w:rPr>
              <w:t>I</w:t>
            </w:r>
            <w:r w:rsidRPr="00183473">
              <w:rPr>
                <w:rFonts w:ascii="Times New Roman" w:hAnsi="Times New Roman"/>
                <w:color w:val="000000"/>
                <w:spacing w:val="-2"/>
              </w:rPr>
              <w:t>nwentaryzacja będzie odbywała się podczas wykonywanych dotychczas czynności przez uprawnione osoby. Kontrole jakości spalanego paliwa są dokonywane obecnie na podstawie uchwał antysmogowych przez organy gminy (straże miejskie)</w:t>
            </w:r>
            <w:r>
              <w:rPr>
                <w:rFonts w:ascii="Times New Roman" w:hAnsi="Times New Roman"/>
                <w:color w:val="000000"/>
                <w:spacing w:val="-2"/>
              </w:rPr>
              <w:t>.</w:t>
            </w:r>
          </w:p>
          <w:p w:rsidR="00183473" w:rsidRPr="00183473" w:rsidRDefault="00183473" w:rsidP="00183473">
            <w:pPr>
              <w:spacing w:line="240" w:lineRule="auto"/>
              <w:jc w:val="both"/>
              <w:rPr>
                <w:rFonts w:ascii="Times New Roman" w:hAnsi="Times New Roman"/>
                <w:color w:val="000000"/>
                <w:spacing w:val="-2"/>
              </w:rPr>
            </w:pPr>
            <w:r>
              <w:rPr>
                <w:rFonts w:ascii="Times New Roman" w:hAnsi="Times New Roman"/>
                <w:color w:val="000000"/>
                <w:spacing w:val="-2"/>
              </w:rPr>
              <w:t>U</w:t>
            </w:r>
            <w:r w:rsidRPr="00183473">
              <w:rPr>
                <w:rFonts w:ascii="Times New Roman" w:hAnsi="Times New Roman"/>
                <w:color w:val="000000"/>
                <w:spacing w:val="-2"/>
              </w:rPr>
              <w:t>chwały antysmogowe podejmowane w poszczególnych województwach (w chwili obecnej uchwalone w 13 województwach), tak czy inaczej przewidują konieczność wymiany pieców/kotłów na spełniające standardy niskoemisyjne, stąd też odpowiednim działaniem pozostaje jak najszybsza identyfikacja pieców lub kotłów eksploatowanych w gospodarstwach domowych, tak aby rzetelnie zaplanować odpowiednie działania jednostek samorządu terytorialnego mające na celu dofinansowanie obywateli do wymiany pieców lub kotłów, zaplanowanie odpowiednich środków dystrybucji pieniędzy na ten cel lub uświadomienie obywatela o konieczności wymiany pieca lub kotła do konkretnego roku i zaproponowanie możliwych programów wsparcia ze środków publicznych. Brak wiedzy administracj</w:t>
            </w:r>
            <w:r w:rsidR="00601C7D">
              <w:rPr>
                <w:rFonts w:ascii="Times New Roman" w:hAnsi="Times New Roman"/>
                <w:color w:val="000000"/>
                <w:spacing w:val="-2"/>
              </w:rPr>
              <w:t>i</w:t>
            </w:r>
            <w:r w:rsidRPr="00183473">
              <w:rPr>
                <w:rFonts w:ascii="Times New Roman" w:hAnsi="Times New Roman"/>
                <w:color w:val="000000"/>
                <w:spacing w:val="-2"/>
              </w:rPr>
              <w:t xml:space="preserve"> publiczn</w:t>
            </w:r>
            <w:r w:rsidR="00601C7D">
              <w:rPr>
                <w:rFonts w:ascii="Times New Roman" w:hAnsi="Times New Roman"/>
                <w:color w:val="000000"/>
                <w:spacing w:val="-2"/>
              </w:rPr>
              <w:t>ej</w:t>
            </w:r>
            <w:r w:rsidRPr="00183473">
              <w:rPr>
                <w:rFonts w:ascii="Times New Roman" w:hAnsi="Times New Roman"/>
                <w:color w:val="000000"/>
                <w:spacing w:val="-2"/>
              </w:rPr>
              <w:t xml:space="preserve"> na temat posiadanych przez polskich obywateli pieców lub kotłów uniemożliwia podjęcie powyższych działań w efektywny sposób.</w:t>
            </w:r>
            <w:r>
              <w:rPr>
                <w:rFonts w:ascii="Times New Roman" w:hAnsi="Times New Roman"/>
                <w:color w:val="000000"/>
                <w:spacing w:val="-2"/>
              </w:rPr>
              <w:t xml:space="preserve"> </w:t>
            </w:r>
            <w:r w:rsidRPr="00183473">
              <w:rPr>
                <w:rFonts w:ascii="Times New Roman" w:hAnsi="Times New Roman"/>
                <w:color w:val="000000"/>
                <w:spacing w:val="-2"/>
              </w:rPr>
              <w:t>Zinwentaryzowanie budynku będzie przynosiło same korzyści dla obywatela – pozwoli dotrzeć do osób najbardziej potrzebujących i ubogich energetycznie ze wsparciem finansowym w ramach programów pomocowych.</w:t>
            </w:r>
            <w:r w:rsidR="00A2270E">
              <w:rPr>
                <w:rFonts w:ascii="Times New Roman" w:hAnsi="Times New Roman"/>
                <w:color w:val="000000"/>
                <w:spacing w:val="-2"/>
              </w:rPr>
              <w:t xml:space="preserve"> </w:t>
            </w:r>
            <w:r w:rsidR="00BA146F" w:rsidRPr="00BA146F">
              <w:rPr>
                <w:rFonts w:ascii="Times New Roman" w:hAnsi="Times New Roman"/>
                <w:color w:val="000000"/>
                <w:spacing w:val="-2"/>
              </w:rPr>
              <w:t>Uruchomienie docelowego systemu IT zostanie poprzedzone licznymi działaniami promocyjno – komunikacyjnymi skierowanymi w stronę obywateli za pośrednictwem ogólnodostępnych mediów (Internet, prasa, TV, itp.), informującymi o wprowadzanych zmian</w:t>
            </w:r>
            <w:r w:rsidR="00A2270E">
              <w:rPr>
                <w:rFonts w:ascii="Times New Roman" w:hAnsi="Times New Roman"/>
                <w:color w:val="000000"/>
                <w:spacing w:val="-2"/>
              </w:rPr>
              <w:t>ach</w:t>
            </w:r>
            <w:r w:rsidR="00BA146F" w:rsidRPr="00BA146F">
              <w:rPr>
                <w:rFonts w:ascii="Times New Roman" w:hAnsi="Times New Roman"/>
                <w:color w:val="000000"/>
                <w:spacing w:val="-2"/>
              </w:rPr>
              <w:t xml:space="preserve">. W tym zakresie, w ramach uzyskanych środków finansowych z </w:t>
            </w:r>
            <w:r w:rsidR="00601C7D" w:rsidRPr="00601C7D">
              <w:rPr>
                <w:rFonts w:ascii="Times New Roman" w:hAnsi="Times New Roman"/>
                <w:color w:val="000000"/>
                <w:spacing w:val="-2"/>
              </w:rPr>
              <w:t>Programu Operacyjnego Polska Cyfrowa (POPC)</w:t>
            </w:r>
            <w:r w:rsidR="00BA146F" w:rsidRPr="00BA146F">
              <w:rPr>
                <w:rFonts w:ascii="Times New Roman" w:hAnsi="Times New Roman"/>
                <w:color w:val="000000"/>
                <w:spacing w:val="-2"/>
              </w:rPr>
              <w:t xml:space="preserve"> wstępnie planuje się wydatkowanie 3% ogólnej wartości dofinansowania – na ten cel zostanie przeznaczone ok. 1 mln zł (3% z 30 mln zł).</w:t>
            </w:r>
            <w:r w:rsidR="00A2270E" w:rsidRPr="00183473">
              <w:rPr>
                <w:rFonts w:ascii="Times New Roman" w:hAnsi="Times New Roman"/>
                <w:color w:val="000000"/>
                <w:spacing w:val="-2"/>
              </w:rPr>
              <w:t xml:space="preserve"> </w:t>
            </w:r>
          </w:p>
          <w:p w:rsidR="004C1F3A" w:rsidRPr="004C1F3A" w:rsidRDefault="00183473" w:rsidP="004C1F3A">
            <w:pPr>
              <w:spacing w:line="240" w:lineRule="auto"/>
              <w:jc w:val="both"/>
              <w:rPr>
                <w:rFonts w:ascii="Times New Roman" w:hAnsi="Times New Roman"/>
                <w:color w:val="000000"/>
                <w:spacing w:val="-2"/>
              </w:rPr>
            </w:pPr>
            <w:r w:rsidRPr="00183473">
              <w:rPr>
                <w:rFonts w:ascii="Times New Roman" w:hAnsi="Times New Roman"/>
                <w:color w:val="000000"/>
                <w:spacing w:val="-2"/>
              </w:rPr>
              <w:t xml:space="preserve">Przepisy wprowadzające obowiązek złożenia deklaracji zostały wzmocnione przepisami sankcyjnymi, uwzględniającymi instytucję czynnego żalu. </w:t>
            </w:r>
            <w:r w:rsidR="004C1F3A" w:rsidRPr="004C1F3A">
              <w:rPr>
                <w:rFonts w:ascii="Times New Roman" w:hAnsi="Times New Roman"/>
                <w:color w:val="000000"/>
                <w:spacing w:val="-2"/>
              </w:rPr>
              <w:t xml:space="preserve">  </w:t>
            </w:r>
          </w:p>
          <w:p w:rsidR="004C1F3A" w:rsidRPr="004C1F3A" w:rsidRDefault="004C1F3A" w:rsidP="004C1F3A">
            <w:pPr>
              <w:spacing w:line="240" w:lineRule="auto"/>
              <w:jc w:val="both"/>
              <w:rPr>
                <w:rFonts w:ascii="Times New Roman" w:hAnsi="Times New Roman"/>
                <w:color w:val="000000"/>
                <w:spacing w:val="-2"/>
              </w:rPr>
            </w:pPr>
            <w:r w:rsidRPr="004C1F3A">
              <w:rPr>
                <w:rFonts w:ascii="Times New Roman" w:hAnsi="Times New Roman"/>
                <w:color w:val="000000"/>
                <w:spacing w:val="-2"/>
              </w:rPr>
              <w:t>Przedmiotowa nowelizacja obejmuje w szczególności:</w:t>
            </w:r>
          </w:p>
          <w:p w:rsidR="00492D1F" w:rsidRDefault="00492D1F">
            <w:pPr>
              <w:spacing w:line="240" w:lineRule="auto"/>
              <w:jc w:val="both"/>
              <w:rPr>
                <w:rFonts w:ascii="Times New Roman" w:hAnsi="Times New Roman"/>
                <w:color w:val="000000"/>
                <w:spacing w:val="-2"/>
              </w:rPr>
            </w:pPr>
            <w:r>
              <w:rPr>
                <w:rFonts w:ascii="Times New Roman" w:hAnsi="Times New Roman"/>
                <w:color w:val="000000"/>
                <w:spacing w:val="-2"/>
              </w:rPr>
              <w:t>I</w:t>
            </w:r>
            <w:r w:rsidR="004C1F3A" w:rsidRPr="004C1F3A">
              <w:rPr>
                <w:rFonts w:ascii="Times New Roman" w:hAnsi="Times New Roman"/>
                <w:color w:val="000000"/>
                <w:spacing w:val="-2"/>
              </w:rPr>
              <w:t>) utworzenie</w:t>
            </w:r>
            <w:r w:rsidR="0002666E">
              <w:rPr>
                <w:rFonts w:ascii="Times New Roman" w:hAnsi="Times New Roman"/>
                <w:color w:val="000000"/>
                <w:spacing w:val="-2"/>
              </w:rPr>
              <w:t xml:space="preserve"> CEEB</w:t>
            </w:r>
            <w:r w:rsidR="00F25C76">
              <w:rPr>
                <w:rFonts w:ascii="Times New Roman" w:hAnsi="Times New Roman"/>
                <w:color w:val="000000"/>
                <w:spacing w:val="-2"/>
              </w:rPr>
              <w:t>, w której gromadzi się</w:t>
            </w:r>
            <w:r>
              <w:rPr>
                <w:rFonts w:ascii="Times New Roman" w:hAnsi="Times New Roman"/>
                <w:color w:val="000000"/>
                <w:spacing w:val="-2"/>
              </w:rPr>
              <w:t>:</w:t>
            </w:r>
          </w:p>
          <w:p w:rsidR="00F25C76" w:rsidRDefault="00492D1F">
            <w:pPr>
              <w:spacing w:line="240" w:lineRule="auto"/>
              <w:jc w:val="both"/>
              <w:rPr>
                <w:rFonts w:ascii="Times New Roman" w:hAnsi="Times New Roman"/>
                <w:color w:val="000000"/>
                <w:spacing w:val="-2"/>
              </w:rPr>
            </w:pPr>
            <w:r>
              <w:rPr>
                <w:rFonts w:ascii="Times New Roman" w:hAnsi="Times New Roman"/>
                <w:color w:val="000000"/>
                <w:spacing w:val="-2"/>
              </w:rPr>
              <w:t>1)</w:t>
            </w:r>
            <w:r w:rsidR="00F25C76">
              <w:t xml:space="preserve"> </w:t>
            </w:r>
            <w:r w:rsidR="00F25C76" w:rsidRPr="00F25C76">
              <w:rPr>
                <w:rFonts w:ascii="Times New Roman" w:hAnsi="Times New Roman"/>
                <w:color w:val="000000"/>
                <w:spacing w:val="-2"/>
              </w:rPr>
              <w:t>dane i informacje o budynkach i lokalach w zakresie</w:t>
            </w:r>
            <w:r w:rsidR="00F25C76">
              <w:rPr>
                <w:rFonts w:ascii="Times New Roman" w:hAnsi="Times New Roman"/>
                <w:color w:val="000000"/>
                <w:spacing w:val="-2"/>
              </w:rPr>
              <w:t>:</w:t>
            </w:r>
            <w:r w:rsidR="004C1F3A" w:rsidRPr="004C1F3A">
              <w:rPr>
                <w:rFonts w:ascii="Times New Roman" w:hAnsi="Times New Roman"/>
                <w:color w:val="000000"/>
                <w:spacing w:val="-2"/>
              </w:rPr>
              <w:t xml:space="preserve"> </w:t>
            </w:r>
          </w:p>
          <w:p w:rsidR="004C1F3A" w:rsidRPr="004C1F3A" w:rsidRDefault="00F25C76">
            <w:pPr>
              <w:spacing w:line="240" w:lineRule="auto"/>
              <w:jc w:val="both"/>
              <w:rPr>
                <w:rFonts w:ascii="Times New Roman" w:hAnsi="Times New Roman"/>
                <w:color w:val="000000"/>
                <w:spacing w:val="-2"/>
              </w:rPr>
            </w:pPr>
            <w:r>
              <w:rPr>
                <w:rFonts w:ascii="Times New Roman" w:hAnsi="Times New Roman"/>
                <w:color w:val="000000"/>
                <w:spacing w:val="-2"/>
              </w:rPr>
              <w:t xml:space="preserve">a) </w:t>
            </w:r>
            <w:r w:rsidRPr="00F25C76">
              <w:rPr>
                <w:rFonts w:ascii="Times New Roman" w:hAnsi="Times New Roman"/>
                <w:color w:val="000000"/>
                <w:spacing w:val="-2"/>
              </w:rPr>
              <w:t>źródła ciepła, w tym z</w:t>
            </w:r>
            <w:r>
              <w:rPr>
                <w:rFonts w:ascii="Times New Roman" w:hAnsi="Times New Roman"/>
                <w:color w:val="000000"/>
                <w:spacing w:val="-2"/>
              </w:rPr>
              <w:t xml:space="preserve">asilania z sieci ciepłowniczej, źródła energii elektrycznej oraz </w:t>
            </w:r>
            <w:r w:rsidRPr="00F25C76">
              <w:rPr>
                <w:rFonts w:ascii="Times New Roman" w:hAnsi="Times New Roman"/>
                <w:color w:val="000000"/>
                <w:spacing w:val="-2"/>
              </w:rPr>
              <w:t xml:space="preserve">źródła spalania paliw, w rozumieniu art. 157a ust. 1 pkt 7 ustawy </w:t>
            </w:r>
            <w:r w:rsidR="00DE3173">
              <w:rPr>
                <w:rFonts w:ascii="Times New Roman" w:hAnsi="Times New Roman"/>
                <w:color w:val="000000"/>
                <w:spacing w:val="-2"/>
              </w:rPr>
              <w:t xml:space="preserve">z dnia 27 kwietnia 2001 r. </w:t>
            </w:r>
            <w:r w:rsidR="00DE3173" w:rsidRPr="00DE3173">
              <w:rPr>
                <w:rFonts w:ascii="Times New Roman" w:hAnsi="Times New Roman"/>
                <w:color w:val="000000"/>
                <w:spacing w:val="-2"/>
              </w:rPr>
              <w:t>–</w:t>
            </w:r>
            <w:r w:rsidR="00DE3173">
              <w:rPr>
                <w:rFonts w:ascii="Times New Roman" w:hAnsi="Times New Roman"/>
                <w:color w:val="000000"/>
                <w:spacing w:val="-2"/>
              </w:rPr>
              <w:t xml:space="preserve"> </w:t>
            </w:r>
            <w:r w:rsidRPr="00F25C76">
              <w:rPr>
                <w:rFonts w:ascii="Times New Roman" w:hAnsi="Times New Roman"/>
                <w:color w:val="000000"/>
                <w:spacing w:val="-2"/>
              </w:rPr>
              <w:t>Prawo ochrony środowiska, o nominalnej mocy cieplnej mniejszej niż 1 MW, niewymagającego pozwolenia, o którym mowa w art. 181 ust. 1 pkt 1 i 2 albo zgłoszenia, o którym mowa w art. 152 ust. 1 tej ustawy</w:t>
            </w:r>
            <w:r w:rsidR="008103C4">
              <w:rPr>
                <w:rFonts w:ascii="Times New Roman" w:hAnsi="Times New Roman"/>
                <w:color w:val="000000"/>
                <w:spacing w:val="-2"/>
              </w:rPr>
              <w:t>.</w:t>
            </w:r>
            <w:r w:rsidR="008103C4">
              <w:t xml:space="preserve"> </w:t>
            </w:r>
            <w:r w:rsidR="008103C4" w:rsidRPr="008103C4">
              <w:rPr>
                <w:rFonts w:ascii="Times New Roman" w:hAnsi="Times New Roman"/>
                <w:color w:val="000000"/>
                <w:spacing w:val="-2"/>
              </w:rPr>
              <w:t>Liczba budynków, w których należy dokonać inwentaryzacji szacowana jest na ok. 5-6 mln. Zebranie wszystkich informacji uzależnione jest od skali działań podejmowanych w ramach „pierwotnych” czynności osób uprawnionych (im więcej np. przeglądów okresowych kominów, tym więcej zinwentaryzowanych budynków). Zgodnie ze złożonym wnioskiem o dofinansowanie budowy systemu CEEB, szacuje się wstępną ilość inwentaryzacji na poziomie 500 tyś</w:t>
            </w:r>
            <w:r w:rsidR="00601C7D">
              <w:rPr>
                <w:rFonts w:ascii="Times New Roman" w:hAnsi="Times New Roman"/>
                <w:color w:val="000000"/>
                <w:spacing w:val="-2"/>
              </w:rPr>
              <w:t>ięcy</w:t>
            </w:r>
            <w:r w:rsidR="008103C4" w:rsidRPr="008103C4">
              <w:rPr>
                <w:rFonts w:ascii="Times New Roman" w:hAnsi="Times New Roman"/>
                <w:color w:val="000000"/>
                <w:spacing w:val="-2"/>
              </w:rPr>
              <w:t xml:space="preserve"> budynków rocznie. Przewiduje się, że inwentaryzację budynków, w największym stopniu, będą realizowali strażnicy miejscy i gminni (w dalszej kolejności kominiarze) ze wsparciem wyznaczonych pracowników urzędów gmin (zakłada się min</w:t>
            </w:r>
            <w:r w:rsidR="00601C7D">
              <w:rPr>
                <w:rFonts w:ascii="Times New Roman" w:hAnsi="Times New Roman"/>
                <w:color w:val="000000"/>
                <w:spacing w:val="-2"/>
              </w:rPr>
              <w:t>imum</w:t>
            </w:r>
            <w:r w:rsidR="008103C4" w:rsidRPr="008103C4">
              <w:rPr>
                <w:rFonts w:ascii="Times New Roman" w:hAnsi="Times New Roman"/>
                <w:color w:val="000000"/>
                <w:spacing w:val="-2"/>
              </w:rPr>
              <w:t xml:space="preserve"> 2 pracowników na gminę, czyli 2x2500 = 5000 osób). Na podstawie obowiązujących Programów Ochrony Powietrza gminy są zobowiązane do wykonywania od 3 do 10% inwentaryzacji budynków w skali roku. </w:t>
            </w:r>
            <w:r w:rsidR="008103C4" w:rsidRPr="008103C4">
              <w:rPr>
                <w:rFonts w:ascii="Times New Roman" w:hAnsi="Times New Roman"/>
                <w:color w:val="000000"/>
                <w:spacing w:val="-2"/>
              </w:rPr>
              <w:lastRenderedPageBreak/>
              <w:t>Przeprowadzone konsultacje z interesariuszami projektu potwierdziły, iż udostępnienie im narzędzi informatycznych w ramach systemu IT, przyczyni się do usprawnienia tego procesu, w wyniku czego gminy powinny realizować plany co rocznych inwentaryzacji budynków, przewidzianych w Programach Ochrony Powietrza</w:t>
            </w:r>
            <w:r w:rsidR="00601C7D">
              <w:rPr>
                <w:rFonts w:ascii="Times New Roman" w:hAnsi="Times New Roman"/>
                <w:color w:val="000000"/>
                <w:spacing w:val="-2"/>
              </w:rPr>
              <w:t>,</w:t>
            </w:r>
          </w:p>
          <w:p w:rsidR="004C1F3A" w:rsidRPr="004C1F3A" w:rsidRDefault="00F25C76" w:rsidP="004C1F3A">
            <w:pPr>
              <w:spacing w:line="240" w:lineRule="auto"/>
              <w:jc w:val="both"/>
              <w:rPr>
                <w:rFonts w:ascii="Times New Roman" w:hAnsi="Times New Roman"/>
                <w:color w:val="000000"/>
                <w:spacing w:val="-2"/>
              </w:rPr>
            </w:pPr>
            <w:r>
              <w:rPr>
                <w:rFonts w:ascii="Times New Roman" w:hAnsi="Times New Roman"/>
                <w:color w:val="000000"/>
                <w:spacing w:val="-2"/>
              </w:rPr>
              <w:t>b)</w:t>
            </w:r>
            <w:r w:rsidR="004C1F3A" w:rsidRPr="004C1F3A">
              <w:rPr>
                <w:rFonts w:ascii="Times New Roman" w:hAnsi="Times New Roman"/>
                <w:color w:val="000000"/>
                <w:spacing w:val="-2"/>
              </w:rPr>
              <w:t xml:space="preserve"> przeprowadzonych kontrolach i czynnościach w ramach których dokonywana jest inwentaryzacja budynków przez uprawnione do tego osoby</w:t>
            </w:r>
            <w:r w:rsidR="00601C7D">
              <w:rPr>
                <w:rFonts w:ascii="Times New Roman" w:hAnsi="Times New Roman"/>
                <w:color w:val="000000"/>
                <w:spacing w:val="-2"/>
              </w:rPr>
              <w:t>,</w:t>
            </w:r>
          </w:p>
          <w:p w:rsidR="004C1F3A" w:rsidRPr="004C1F3A" w:rsidRDefault="0002666E" w:rsidP="004C1F3A">
            <w:pPr>
              <w:spacing w:line="240" w:lineRule="auto"/>
              <w:jc w:val="both"/>
              <w:rPr>
                <w:rFonts w:ascii="Times New Roman" w:hAnsi="Times New Roman"/>
                <w:color w:val="000000"/>
                <w:spacing w:val="-2"/>
              </w:rPr>
            </w:pPr>
            <w:r>
              <w:rPr>
                <w:rFonts w:ascii="Times New Roman" w:hAnsi="Times New Roman"/>
                <w:color w:val="000000"/>
                <w:spacing w:val="-2"/>
              </w:rPr>
              <w:t xml:space="preserve">c) </w:t>
            </w:r>
            <w:r w:rsidRPr="0002666E">
              <w:rPr>
                <w:rFonts w:ascii="Times New Roman" w:hAnsi="Times New Roman"/>
                <w:color w:val="000000"/>
                <w:spacing w:val="-2"/>
              </w:rPr>
              <w:t>przekazanej premii termomodernizacyjnej,</w:t>
            </w:r>
            <w:r>
              <w:rPr>
                <w:rFonts w:ascii="Times New Roman" w:hAnsi="Times New Roman"/>
                <w:color w:val="000000"/>
                <w:spacing w:val="-2"/>
              </w:rPr>
              <w:t xml:space="preserve"> przekazanej premii remontowej, </w:t>
            </w:r>
            <w:r w:rsidR="004C1F3A" w:rsidRPr="004C1F3A">
              <w:rPr>
                <w:rFonts w:ascii="Times New Roman" w:hAnsi="Times New Roman"/>
                <w:color w:val="000000"/>
                <w:spacing w:val="-2"/>
              </w:rPr>
              <w:t>ul</w:t>
            </w:r>
            <w:r>
              <w:rPr>
                <w:rFonts w:ascii="Times New Roman" w:hAnsi="Times New Roman"/>
                <w:color w:val="000000"/>
                <w:spacing w:val="-2"/>
              </w:rPr>
              <w:t>gi</w:t>
            </w:r>
            <w:r w:rsidR="004C1F3A" w:rsidRPr="004C1F3A">
              <w:rPr>
                <w:rFonts w:ascii="Times New Roman" w:hAnsi="Times New Roman"/>
                <w:color w:val="000000"/>
                <w:spacing w:val="-2"/>
              </w:rPr>
              <w:t xml:space="preserve"> podatkowej </w:t>
            </w:r>
            <w:r>
              <w:rPr>
                <w:rFonts w:ascii="Times New Roman" w:hAnsi="Times New Roman"/>
                <w:color w:val="000000"/>
                <w:spacing w:val="-2"/>
              </w:rPr>
              <w:t xml:space="preserve">(termomodernizacyjnej) </w:t>
            </w:r>
            <w:r w:rsidR="004C1F3A" w:rsidRPr="004C1F3A">
              <w:rPr>
                <w:rFonts w:ascii="Times New Roman" w:hAnsi="Times New Roman"/>
                <w:color w:val="000000"/>
                <w:spacing w:val="-2"/>
              </w:rPr>
              <w:t>lub udzielonym ze środków publicznych finansowaniu albo dofinansowaniu</w:t>
            </w:r>
            <w:r>
              <w:rPr>
                <w:rFonts w:ascii="Times New Roman" w:hAnsi="Times New Roman"/>
                <w:color w:val="000000"/>
                <w:spacing w:val="-2"/>
              </w:rPr>
              <w:t>:</w:t>
            </w:r>
          </w:p>
          <w:p w:rsidR="0002666E" w:rsidRPr="0002666E" w:rsidRDefault="0002666E" w:rsidP="0002666E">
            <w:pPr>
              <w:spacing w:line="240" w:lineRule="auto"/>
              <w:jc w:val="both"/>
              <w:rPr>
                <w:rFonts w:ascii="Times New Roman" w:hAnsi="Times New Roman"/>
                <w:color w:val="000000"/>
                <w:spacing w:val="-2"/>
              </w:rPr>
            </w:pPr>
            <w:r w:rsidRPr="0002666E">
              <w:rPr>
                <w:rFonts w:ascii="Times New Roman" w:hAnsi="Times New Roman"/>
                <w:color w:val="000000"/>
                <w:spacing w:val="-2"/>
              </w:rPr>
              <w:t>- przedsięwzięć termomodernizacyjnych, przedsięwzięć niskoemisyjnych lub przedsięwzięć remontowych,</w:t>
            </w:r>
          </w:p>
          <w:p w:rsidR="0002666E" w:rsidRPr="0002666E" w:rsidRDefault="0002666E" w:rsidP="0002666E">
            <w:pPr>
              <w:spacing w:line="240" w:lineRule="auto"/>
              <w:jc w:val="both"/>
              <w:rPr>
                <w:rFonts w:ascii="Times New Roman" w:hAnsi="Times New Roman"/>
                <w:color w:val="000000"/>
                <w:spacing w:val="-2"/>
              </w:rPr>
            </w:pPr>
            <w:r w:rsidRPr="0002666E">
              <w:rPr>
                <w:rFonts w:ascii="Times New Roman" w:hAnsi="Times New Roman"/>
                <w:color w:val="000000"/>
                <w:spacing w:val="-2"/>
              </w:rPr>
              <w:t>- odnawialnych źródeł energii, o których w art. 2 pkt 22 ustawy</w:t>
            </w:r>
            <w:r w:rsidR="000244E6">
              <w:rPr>
                <w:rFonts w:ascii="Times New Roman" w:hAnsi="Times New Roman"/>
                <w:color w:val="000000"/>
                <w:spacing w:val="-2"/>
              </w:rPr>
              <w:t xml:space="preserve"> </w:t>
            </w:r>
            <w:r w:rsidRPr="0002666E">
              <w:rPr>
                <w:rFonts w:ascii="Times New Roman" w:hAnsi="Times New Roman"/>
                <w:color w:val="000000"/>
                <w:spacing w:val="-2"/>
              </w:rPr>
              <w:t>z dnia 20 lutego 2015 r. o odnawialnych źródłach energii,</w:t>
            </w:r>
          </w:p>
          <w:p w:rsidR="0002666E" w:rsidRDefault="0002666E" w:rsidP="0002666E">
            <w:pPr>
              <w:spacing w:line="240" w:lineRule="auto"/>
              <w:jc w:val="both"/>
              <w:rPr>
                <w:rFonts w:ascii="Times New Roman" w:hAnsi="Times New Roman"/>
                <w:color w:val="000000"/>
                <w:spacing w:val="-2"/>
              </w:rPr>
            </w:pPr>
            <w:r w:rsidRPr="0002666E">
              <w:rPr>
                <w:rFonts w:ascii="Times New Roman" w:hAnsi="Times New Roman"/>
                <w:color w:val="000000"/>
                <w:spacing w:val="-2"/>
              </w:rPr>
              <w:t>- innych przedsięwzięć związanych z ochroną powietrza</w:t>
            </w:r>
            <w:r>
              <w:rPr>
                <w:rFonts w:ascii="Times New Roman" w:hAnsi="Times New Roman"/>
                <w:color w:val="000000"/>
                <w:spacing w:val="-2"/>
              </w:rPr>
              <w:t>.</w:t>
            </w:r>
          </w:p>
          <w:p w:rsidR="00E4424E" w:rsidRDefault="00E4424E" w:rsidP="0002666E">
            <w:pPr>
              <w:spacing w:line="240" w:lineRule="auto"/>
              <w:jc w:val="both"/>
              <w:rPr>
                <w:rFonts w:ascii="Times New Roman" w:hAnsi="Times New Roman"/>
                <w:color w:val="000000"/>
                <w:spacing w:val="-2"/>
              </w:rPr>
            </w:pPr>
            <w:r w:rsidRPr="00E4424E">
              <w:rPr>
                <w:rFonts w:ascii="Times New Roman" w:hAnsi="Times New Roman"/>
                <w:color w:val="000000"/>
                <w:spacing w:val="-2"/>
              </w:rPr>
              <w:t xml:space="preserve">Zgodnie z projektowanym art. 27a ust. 3 pkt 2 lit. c dane i informacje </w:t>
            </w:r>
            <w:r>
              <w:rPr>
                <w:rFonts w:ascii="Times New Roman" w:hAnsi="Times New Roman"/>
                <w:color w:val="000000"/>
                <w:spacing w:val="-2"/>
              </w:rPr>
              <w:t>będą</w:t>
            </w:r>
            <w:r w:rsidRPr="00E4424E">
              <w:rPr>
                <w:rFonts w:ascii="Times New Roman" w:hAnsi="Times New Roman"/>
                <w:color w:val="000000"/>
                <w:spacing w:val="-2"/>
              </w:rPr>
              <w:t xml:space="preserve"> pozyskiwane automatycznie przez system teleinformatyczny obsługujący ewidencję z baz danych podmiotów przetwarzających dane w ramach swojej działalności, w zakresie, o którym mowa w art. 27a ust. 2 pkt 1. Rozwiązanie to pozwoli na zasilenie CEEB w dane, które zostały już zgormadzone przez inne podmioty i mogłoby stanowić o inicjalnym zasileniu CEEB (np. przez gminy, które dokonały inwentaryzacji budynków na podstawie przepisów prawa miejscowego lub przez dostawców energii do budynków). Rozwiązanie to stwarza tym samym możliwość i podstawę prawną migracji danych dotyczących przyznanych dofinansowań przed uruchomieniem systemu CEEB z systemów podmiotów gromadzących dane dotyczące dofinansowań, premii i ulg podatkowych (NFOŚiGW, WFOŚiGW, jednostki samorządu terytorialnego, BGK, organy KAS). Migracja danych zostanie zaprojektowana w ramach budowanego systemu CEEB, przewidującego odpowiednie transformaty danych, za co odpowiedzialność spoczywać będzie po stronie wykonawcy systemu IT</w:t>
            </w:r>
            <w:r w:rsidR="00601C7D">
              <w:rPr>
                <w:rFonts w:ascii="Times New Roman" w:hAnsi="Times New Roman"/>
                <w:color w:val="000000"/>
                <w:spacing w:val="-2"/>
              </w:rPr>
              <w:t>,</w:t>
            </w:r>
          </w:p>
          <w:p w:rsidR="0002666E" w:rsidRPr="0002666E" w:rsidRDefault="0002666E" w:rsidP="0002666E">
            <w:pPr>
              <w:spacing w:line="240" w:lineRule="auto"/>
              <w:jc w:val="both"/>
              <w:rPr>
                <w:rFonts w:ascii="Times New Roman" w:hAnsi="Times New Roman"/>
                <w:color w:val="000000"/>
                <w:spacing w:val="-2"/>
              </w:rPr>
            </w:pPr>
            <w:r>
              <w:rPr>
                <w:rFonts w:ascii="Times New Roman" w:hAnsi="Times New Roman"/>
                <w:color w:val="000000"/>
                <w:spacing w:val="-2"/>
              </w:rPr>
              <w:t xml:space="preserve">d) </w:t>
            </w:r>
            <w:r w:rsidRPr="0002666E">
              <w:rPr>
                <w:rFonts w:ascii="Times New Roman" w:hAnsi="Times New Roman"/>
                <w:color w:val="000000"/>
                <w:spacing w:val="-2"/>
              </w:rPr>
              <w:t>przyznanych świadczeń z pomocy społecznej lub innych form wsparcia finansowego ze środków publicznych w zakresie:</w:t>
            </w:r>
          </w:p>
          <w:p w:rsidR="0002666E" w:rsidRPr="0002666E" w:rsidRDefault="0002666E" w:rsidP="0002666E">
            <w:pPr>
              <w:spacing w:line="240" w:lineRule="auto"/>
              <w:jc w:val="both"/>
              <w:rPr>
                <w:rFonts w:ascii="Times New Roman" w:hAnsi="Times New Roman"/>
                <w:color w:val="000000"/>
                <w:spacing w:val="-2"/>
              </w:rPr>
            </w:pPr>
            <w:r w:rsidRPr="0002666E">
              <w:rPr>
                <w:rFonts w:ascii="Times New Roman" w:hAnsi="Times New Roman"/>
                <w:color w:val="000000"/>
                <w:spacing w:val="-2"/>
              </w:rPr>
              <w:t>- dodatku mieszkaniowego, o którym mowa w ustawie z dnia 21 czerwca 2001 r. o dodatkach mieszkaniowych (Dz. U. z 2019 r. poz. 2133),</w:t>
            </w:r>
          </w:p>
          <w:p w:rsidR="0002666E" w:rsidRPr="0002666E" w:rsidRDefault="0002666E" w:rsidP="0002666E">
            <w:pPr>
              <w:spacing w:line="240" w:lineRule="auto"/>
              <w:jc w:val="both"/>
              <w:rPr>
                <w:rFonts w:ascii="Times New Roman" w:hAnsi="Times New Roman"/>
                <w:color w:val="000000"/>
                <w:spacing w:val="-2"/>
              </w:rPr>
            </w:pPr>
            <w:r w:rsidRPr="0002666E">
              <w:rPr>
                <w:rFonts w:ascii="Times New Roman" w:hAnsi="Times New Roman"/>
                <w:color w:val="000000"/>
                <w:spacing w:val="-2"/>
              </w:rPr>
              <w:t xml:space="preserve">- dodatku energetycznego, o którym mowa w art. 5c ust. 1 ustawy z dnia 10 kwietnia 1997 r. </w:t>
            </w:r>
            <w:r w:rsidR="00DE3173" w:rsidRPr="00DE3173">
              <w:rPr>
                <w:rFonts w:ascii="Times New Roman" w:hAnsi="Times New Roman"/>
                <w:color w:val="000000"/>
                <w:spacing w:val="-2"/>
              </w:rPr>
              <w:t>–</w:t>
            </w:r>
            <w:r w:rsidR="00DE3173">
              <w:rPr>
                <w:rFonts w:ascii="Times New Roman" w:hAnsi="Times New Roman"/>
                <w:color w:val="000000"/>
                <w:spacing w:val="-2"/>
              </w:rPr>
              <w:t xml:space="preserve"> </w:t>
            </w:r>
            <w:r w:rsidRPr="0002666E">
              <w:rPr>
                <w:rFonts w:ascii="Times New Roman" w:hAnsi="Times New Roman"/>
                <w:color w:val="000000"/>
                <w:spacing w:val="-2"/>
              </w:rPr>
              <w:t>Prawo energetyczne (Dz. U. z 2019 r. poz. 755</w:t>
            </w:r>
            <w:r w:rsidR="00DE3173">
              <w:rPr>
                <w:rFonts w:ascii="Times New Roman" w:hAnsi="Times New Roman"/>
                <w:color w:val="000000"/>
                <w:spacing w:val="-2"/>
              </w:rPr>
              <w:t>, z późn. zm.</w:t>
            </w:r>
            <w:r w:rsidRPr="0002666E">
              <w:rPr>
                <w:rFonts w:ascii="Times New Roman" w:hAnsi="Times New Roman"/>
                <w:color w:val="000000"/>
                <w:spacing w:val="-2"/>
              </w:rPr>
              <w:t>),</w:t>
            </w:r>
          </w:p>
          <w:p w:rsidR="0002666E" w:rsidRDefault="0002666E" w:rsidP="0002666E">
            <w:pPr>
              <w:spacing w:line="240" w:lineRule="auto"/>
              <w:jc w:val="both"/>
              <w:rPr>
                <w:rFonts w:ascii="Times New Roman" w:hAnsi="Times New Roman"/>
                <w:color w:val="000000"/>
                <w:spacing w:val="-2"/>
              </w:rPr>
            </w:pPr>
            <w:r w:rsidRPr="0002666E">
              <w:rPr>
                <w:rFonts w:ascii="Times New Roman" w:hAnsi="Times New Roman"/>
                <w:color w:val="000000"/>
                <w:spacing w:val="-2"/>
              </w:rPr>
              <w:t>- zasiłku celowego na opał, o którym mowa w art. 39 ust. 1 i 2 ustawy z dnia 12 marca 2004 r. o pomocy społecznej (Dz. U. z 2019 r. poz. 1507</w:t>
            </w:r>
            <w:r w:rsidR="00DE3173">
              <w:rPr>
                <w:rFonts w:ascii="Times New Roman" w:hAnsi="Times New Roman"/>
                <w:color w:val="000000"/>
                <w:spacing w:val="-2"/>
              </w:rPr>
              <w:t>, z późn. zm.</w:t>
            </w:r>
            <w:r w:rsidRPr="0002666E">
              <w:rPr>
                <w:rFonts w:ascii="Times New Roman" w:hAnsi="Times New Roman"/>
                <w:color w:val="000000"/>
                <w:spacing w:val="-2"/>
              </w:rPr>
              <w:t>);</w:t>
            </w:r>
          </w:p>
          <w:p w:rsidR="0036310C" w:rsidRDefault="00492D1F" w:rsidP="004C1F3A">
            <w:pPr>
              <w:spacing w:line="240" w:lineRule="auto"/>
              <w:jc w:val="both"/>
              <w:rPr>
                <w:rFonts w:ascii="Times New Roman" w:hAnsi="Times New Roman"/>
                <w:color w:val="000000"/>
                <w:spacing w:val="-2"/>
              </w:rPr>
            </w:pPr>
            <w:r>
              <w:rPr>
                <w:rFonts w:ascii="Times New Roman" w:hAnsi="Times New Roman"/>
                <w:color w:val="000000"/>
                <w:spacing w:val="-2"/>
              </w:rPr>
              <w:t>2</w:t>
            </w:r>
            <w:r w:rsidRPr="00492D1F">
              <w:rPr>
                <w:rFonts w:ascii="Times New Roman" w:hAnsi="Times New Roman"/>
                <w:color w:val="000000"/>
                <w:spacing w:val="-2"/>
              </w:rPr>
              <w:t xml:space="preserve">) dane osób uprawnionych do wprowadzania danych i </w:t>
            </w:r>
            <w:r>
              <w:rPr>
                <w:rFonts w:ascii="Times New Roman" w:hAnsi="Times New Roman"/>
                <w:color w:val="000000"/>
                <w:spacing w:val="-2"/>
              </w:rPr>
              <w:t xml:space="preserve">informacji do </w:t>
            </w:r>
            <w:r w:rsidR="001B67EC">
              <w:rPr>
                <w:rFonts w:ascii="Times New Roman" w:hAnsi="Times New Roman"/>
                <w:color w:val="000000"/>
                <w:spacing w:val="-2"/>
              </w:rPr>
              <w:t>CEEB</w:t>
            </w:r>
            <w:r>
              <w:rPr>
                <w:rFonts w:ascii="Times New Roman" w:hAnsi="Times New Roman"/>
                <w:color w:val="000000"/>
                <w:spacing w:val="-2"/>
              </w:rPr>
              <w:t xml:space="preserve">, zamieszczane w tzw. </w:t>
            </w:r>
            <w:r w:rsidR="004C1F3A" w:rsidRPr="004C1F3A">
              <w:rPr>
                <w:rFonts w:ascii="Times New Roman" w:hAnsi="Times New Roman"/>
                <w:color w:val="000000"/>
                <w:spacing w:val="-2"/>
              </w:rPr>
              <w:t>„wykaz</w:t>
            </w:r>
            <w:r>
              <w:rPr>
                <w:rFonts w:ascii="Times New Roman" w:hAnsi="Times New Roman"/>
                <w:color w:val="000000"/>
                <w:spacing w:val="-2"/>
              </w:rPr>
              <w:t>ie</w:t>
            </w:r>
            <w:r w:rsidR="004C1F3A" w:rsidRPr="004C1F3A">
              <w:rPr>
                <w:rFonts w:ascii="Times New Roman" w:hAnsi="Times New Roman"/>
                <w:color w:val="000000"/>
                <w:spacing w:val="-2"/>
              </w:rPr>
              <w:t xml:space="preserve"> osób uprawnionych</w:t>
            </w:r>
            <w:r>
              <w:rPr>
                <w:rFonts w:ascii="Times New Roman" w:hAnsi="Times New Roman"/>
                <w:color w:val="000000"/>
                <w:spacing w:val="-2"/>
              </w:rPr>
              <w:t>”</w:t>
            </w:r>
            <w:r w:rsidR="0036310C">
              <w:rPr>
                <w:rFonts w:ascii="Times New Roman" w:hAnsi="Times New Roman"/>
                <w:color w:val="000000"/>
                <w:spacing w:val="-2"/>
              </w:rPr>
              <w:t>;</w:t>
            </w:r>
          </w:p>
          <w:p w:rsidR="00050121" w:rsidRDefault="0036310C">
            <w:pPr>
              <w:spacing w:after="240" w:line="240" w:lineRule="auto"/>
              <w:jc w:val="both"/>
              <w:rPr>
                <w:rFonts w:ascii="Times New Roman" w:hAnsi="Times New Roman"/>
                <w:color w:val="000000"/>
                <w:spacing w:val="-2"/>
              </w:rPr>
            </w:pPr>
            <w:r>
              <w:rPr>
                <w:rFonts w:ascii="Times New Roman" w:hAnsi="Times New Roman"/>
                <w:color w:val="000000"/>
                <w:spacing w:val="-2"/>
              </w:rPr>
              <w:t xml:space="preserve">3) </w:t>
            </w:r>
            <w:r w:rsidRPr="0036310C">
              <w:rPr>
                <w:rFonts w:ascii="Times New Roman" w:hAnsi="Times New Roman"/>
                <w:color w:val="000000"/>
                <w:spacing w:val="-2"/>
              </w:rPr>
              <w:t>dane właścicieli lub zarządców budynków lub</w:t>
            </w:r>
            <w:r>
              <w:rPr>
                <w:rFonts w:ascii="Times New Roman" w:hAnsi="Times New Roman"/>
                <w:color w:val="000000"/>
                <w:spacing w:val="-2"/>
              </w:rPr>
              <w:t xml:space="preserve"> lokali, w tym: </w:t>
            </w:r>
            <w:r w:rsidRPr="0036310C">
              <w:rPr>
                <w:rFonts w:ascii="Times New Roman" w:hAnsi="Times New Roman"/>
                <w:color w:val="000000"/>
                <w:spacing w:val="-2"/>
              </w:rPr>
              <w:t>imię i nazwisko albo nazwę właściciela lub zarządcy oraz adres jego mie</w:t>
            </w:r>
            <w:r>
              <w:rPr>
                <w:rFonts w:ascii="Times New Roman" w:hAnsi="Times New Roman"/>
                <w:color w:val="000000"/>
                <w:spacing w:val="-2"/>
              </w:rPr>
              <w:t xml:space="preserve">jsca zamieszkania lub siedziby; </w:t>
            </w:r>
            <w:r w:rsidRPr="0036310C">
              <w:rPr>
                <w:rFonts w:ascii="Times New Roman" w:hAnsi="Times New Roman"/>
                <w:color w:val="000000"/>
                <w:spacing w:val="-2"/>
              </w:rPr>
              <w:t>adres nieruchomości, w obrębie której eksploatowane jest źródło ci</w:t>
            </w:r>
            <w:r>
              <w:rPr>
                <w:rFonts w:ascii="Times New Roman" w:hAnsi="Times New Roman"/>
                <w:color w:val="000000"/>
                <w:spacing w:val="-2"/>
              </w:rPr>
              <w:t xml:space="preserve">epła lub źródło spalania paliw, numer telefonu; </w:t>
            </w:r>
            <w:r w:rsidRPr="0036310C">
              <w:rPr>
                <w:rFonts w:ascii="Times New Roman" w:hAnsi="Times New Roman"/>
                <w:color w:val="000000"/>
                <w:spacing w:val="-2"/>
              </w:rPr>
              <w:t>adres poczty elektronicznej.</w:t>
            </w:r>
            <w:r w:rsidR="00E05EA4">
              <w:t xml:space="preserve"> </w:t>
            </w:r>
            <w:r w:rsidR="00E05EA4" w:rsidRPr="00E05EA4">
              <w:rPr>
                <w:rFonts w:ascii="Times New Roman" w:hAnsi="Times New Roman"/>
                <w:color w:val="000000"/>
                <w:spacing w:val="-2"/>
              </w:rPr>
              <w:t>Uwzględnienie tych informacji w CEEB ułatwi szybkie przekazywanie informacji operatorom ww. źródeł spalania ciepła lub paliw w przypadku ustanowienia przepisów umożliwiających wprowadzenia czasowego ograniczenia lub zakazu eksploatacji tych instalacji, w szczególności w razie przekroczenia poziomu alarmowego zanieczyszczenia powietrza. Gromadzenie tych danych pozostaje niezbędne w aspekcie wprowadzonego obowiązku (art. 27g ust. 1 - 5) złożenia deklaracji o źródłach ciepła lub źródłach spalania paliw, o których mowa odpowiednio w art. 27a ust. 2 lit. a i c przez właściciela lub zarządcę nieruchomości. Deklarację należy złożyć w terminie 14 dni od dnia pierwszego uruchomienia tego źródła ciepła lub źródła spalania paliw – do wójta, burmistrza lub prezydenta miasta. Dopuszcza się dwie formy składanych deklaracji: w postaci elektronicznej, za pomocą środków komunikacji elektronicznej na zasadach określonych w ustawie z dnia 17 lutego 2005 r. o informatyzacji działalności podmiotów realizujących zadania publiczne z wykorzystaniem systemu teleinformatycznego obsługującego ewidencję lub w formie pisemnej. W deklaracji należy wskazać: imię i nazwisko albo nazwę właściciela lub zarządcy nieruchomości oraz adres miejsca zamieszkania lub siedziby; adres nieruchomości, w obrębie której eksploatowane jest źródło ciepła lub źródło spalania paliw, o których mowa odpowiednio w art. 27a ust. 2 lit. a i c; numer telefonu właściciela lub zarządcy nieruchomości; adres poczty elektronicznej właściciela lub zarządcy; informacje o liczbie i rodzaju eksploatowanych w obrębie nieruchomości źródeł ciepła lub źródeł spalania paliw, o których mowa odpowiednio w art. 27a ust. 2 lit. a i c oraz o ich przeznaczeniu i wykorzystywanych w nich paliwach. W przypadku zmiany danych, o których mowa powyżej, właściciel lub zarządca nieruchomości jest obowiązany złożyć nową deklarację w terminie 14 dni od dnia, w którym zaistniała zmiana. Minister właściwy do spraw budownictwa, planowania i zagospodarowania przestrzennego oraz mieszkalnictwa w porozumieniu z ministrem właściwym do spraw klimatu określi, w drodze rozporządzenia: szczegółowy zakres danych objętych deklaracją oraz wzór elektronicznego i pisemnego formularza deklaracji.</w:t>
            </w:r>
          </w:p>
          <w:p w:rsidR="00F17335" w:rsidRPr="00F17335" w:rsidRDefault="00F17335" w:rsidP="00F17335">
            <w:pPr>
              <w:spacing w:after="240" w:line="240" w:lineRule="auto"/>
              <w:jc w:val="both"/>
              <w:rPr>
                <w:rFonts w:ascii="Times New Roman" w:hAnsi="Times New Roman"/>
                <w:color w:val="000000"/>
                <w:spacing w:val="-2"/>
              </w:rPr>
            </w:pPr>
            <w:r w:rsidRPr="00F17335">
              <w:rPr>
                <w:rFonts w:ascii="Times New Roman" w:hAnsi="Times New Roman"/>
                <w:color w:val="000000"/>
                <w:spacing w:val="-2"/>
              </w:rPr>
              <w:lastRenderedPageBreak/>
              <w:t xml:space="preserve">W </w:t>
            </w:r>
            <w:r>
              <w:rPr>
                <w:rFonts w:ascii="Times New Roman" w:hAnsi="Times New Roman"/>
                <w:color w:val="000000"/>
                <w:spacing w:val="-2"/>
              </w:rPr>
              <w:t xml:space="preserve">projekcie ustawy </w:t>
            </w:r>
            <w:r w:rsidRPr="00F17335">
              <w:rPr>
                <w:rFonts w:ascii="Times New Roman" w:hAnsi="Times New Roman"/>
                <w:color w:val="000000"/>
                <w:spacing w:val="-2"/>
              </w:rPr>
              <w:t xml:space="preserve">przewidziano rozwiązanie zobowiązujące właścicieli lub zarządców budynków lub lokali, którzy eksploatowali przed dniem wejścia w życie przepisów projektowanej ustawy źródła ciepła lub źródła spalania paliw (np. kocioł gazowy, podgrzewacz gazowy przepływowy, podgrzewacz gazowy pojemnościowy, grzejnik gazowy, kominek gazowy, nagrzewnice gazowe, promienniki gazowe, kocioł na paliwa stałe, piec kaflowy lub wolnostojący (koza, angielka) na paliwa stałe (węgiel, drewno, pellet), kominek na paliwo stałe, trzon kuchenny, piecokuchnia, kuchnia węglowa, kocioł olejowy, piec olejowy, pompa ciepła powietrzna, pompa ciepła gruntowa, pompa ciepła wodna, ogrzewanie elektryczne, kolektory słoneczne, sieć ciepłownicza) do złożenia do wójta, burmistrza lub prezydenta miasta deklaracji w formie pisemnej najpóźniej do dnia 31 marca 2021 r. Obowiązek rejestracji kotła dotyczy tym samym urządzeń użytkowanych przed dniem wejścia w życie </w:t>
            </w:r>
            <w:r w:rsidR="00601C7D">
              <w:rPr>
                <w:rFonts w:ascii="Times New Roman" w:hAnsi="Times New Roman"/>
                <w:color w:val="000000"/>
                <w:spacing w:val="-2"/>
              </w:rPr>
              <w:t xml:space="preserve">projektowanej </w:t>
            </w:r>
            <w:r w:rsidRPr="00F17335">
              <w:rPr>
                <w:rFonts w:ascii="Times New Roman" w:hAnsi="Times New Roman"/>
                <w:color w:val="000000"/>
                <w:spacing w:val="-2"/>
              </w:rPr>
              <w:t xml:space="preserve">ustawy. Złożenie deklaracji przez właścicieli lub zarządców budynków sprawi, że CEEB zostanie zasilona inicjalnie w pewnym zakresie danych – mniejszym, aniżeli względem zakresu danych zbieranym podczas inwentaryzacji, w czasie której dane dotyczące budynku obejmą również jego parametry techniczne, które będą przekazane przez osoby posiadające odpowiednie kwalifikacji. Dane przekazywane tymi dwoma trybami nie będą się wykluczały a wręcz przewiduje się ich pełną synchronizację. </w:t>
            </w:r>
          </w:p>
          <w:p w:rsidR="00E2430C" w:rsidRDefault="00F17335" w:rsidP="00FB1A75">
            <w:pPr>
              <w:spacing w:after="240" w:line="240" w:lineRule="auto"/>
              <w:jc w:val="both"/>
              <w:rPr>
                <w:rFonts w:ascii="Times New Roman" w:hAnsi="Times New Roman"/>
                <w:color w:val="000000"/>
                <w:spacing w:val="-2"/>
              </w:rPr>
            </w:pPr>
            <w:r w:rsidRPr="00F17335">
              <w:rPr>
                <w:rFonts w:ascii="Times New Roman" w:hAnsi="Times New Roman"/>
                <w:color w:val="000000"/>
                <w:spacing w:val="-2"/>
              </w:rPr>
              <w:t>Połączenie deklaracji z inwentaryzacją budynków tworzy w pełni funkcjonalny i kompleksowy system gromadzenia danych o posiadanych i użytkowanych źródłach ciepła</w:t>
            </w:r>
            <w:r w:rsidR="00601C7D">
              <w:rPr>
                <w:rFonts w:ascii="Times New Roman" w:hAnsi="Times New Roman"/>
                <w:color w:val="000000"/>
                <w:spacing w:val="-2"/>
              </w:rPr>
              <w:t xml:space="preserve"> lub </w:t>
            </w:r>
            <w:r w:rsidRPr="00F17335">
              <w:rPr>
                <w:rFonts w:ascii="Times New Roman" w:hAnsi="Times New Roman"/>
                <w:color w:val="000000"/>
                <w:spacing w:val="-2"/>
              </w:rPr>
              <w:t>spalania paliw, który przewiduje mechanizmy aktualizacji danych dotyczących tych źródeł</w:t>
            </w:r>
            <w:r>
              <w:rPr>
                <w:rFonts w:ascii="Times New Roman" w:hAnsi="Times New Roman"/>
                <w:color w:val="000000"/>
                <w:spacing w:val="-2"/>
              </w:rPr>
              <w:t>.</w:t>
            </w:r>
          </w:p>
          <w:p w:rsidR="000D0175" w:rsidRDefault="000D0175" w:rsidP="00FB1A75">
            <w:pPr>
              <w:spacing w:after="240" w:line="240" w:lineRule="auto"/>
              <w:jc w:val="both"/>
              <w:rPr>
                <w:rFonts w:ascii="Times New Roman" w:hAnsi="Times New Roman"/>
                <w:color w:val="000000"/>
                <w:spacing w:val="-2"/>
              </w:rPr>
            </w:pPr>
            <w:r w:rsidRPr="00F84869">
              <w:rPr>
                <w:rFonts w:ascii="Times New Roman" w:hAnsi="Times New Roman"/>
              </w:rPr>
              <w:t>Dodatkowo</w:t>
            </w:r>
            <w:r>
              <w:rPr>
                <w:rFonts w:ascii="Times New Roman" w:hAnsi="Times New Roman"/>
              </w:rPr>
              <w:t xml:space="preserve"> </w:t>
            </w:r>
            <w:r w:rsidRPr="00F84869">
              <w:rPr>
                <w:rFonts w:ascii="Times New Roman" w:hAnsi="Times New Roman"/>
              </w:rPr>
              <w:t>określ</w:t>
            </w:r>
            <w:r>
              <w:rPr>
                <w:rFonts w:ascii="Times New Roman" w:hAnsi="Times New Roman"/>
              </w:rPr>
              <w:t>a się</w:t>
            </w:r>
            <w:r w:rsidRPr="00F84869">
              <w:rPr>
                <w:rFonts w:ascii="Times New Roman" w:hAnsi="Times New Roman"/>
              </w:rPr>
              <w:t xml:space="preserve"> obowiąz</w:t>
            </w:r>
            <w:r>
              <w:rPr>
                <w:rFonts w:ascii="Times New Roman" w:hAnsi="Times New Roman"/>
              </w:rPr>
              <w:t>e</w:t>
            </w:r>
            <w:r w:rsidRPr="00F84869">
              <w:rPr>
                <w:rFonts w:ascii="Times New Roman" w:hAnsi="Times New Roman"/>
              </w:rPr>
              <w:t xml:space="preserve">k wprowadzenia danych z deklaracji </w:t>
            </w:r>
            <w:r>
              <w:rPr>
                <w:rFonts w:ascii="Times New Roman" w:hAnsi="Times New Roman"/>
              </w:rPr>
              <w:t>złożonych w formie pisemnej</w:t>
            </w:r>
            <w:r w:rsidRPr="00F84869">
              <w:rPr>
                <w:rFonts w:ascii="Times New Roman" w:hAnsi="Times New Roman"/>
              </w:rPr>
              <w:t xml:space="preserve"> do CEEB przez wójta, burmistrza lub prezydenta miasta w terminie 6 miesięcy od dnia otrzymania deklaracji w formie </w:t>
            </w:r>
            <w:r>
              <w:rPr>
                <w:rFonts w:ascii="Times New Roman" w:hAnsi="Times New Roman"/>
              </w:rPr>
              <w:t>pisemnej</w:t>
            </w:r>
            <w:r w:rsidRPr="00F84869">
              <w:rPr>
                <w:rFonts w:ascii="Times New Roman" w:hAnsi="Times New Roman"/>
              </w:rPr>
              <w:t xml:space="preserve"> składanej w terminie do dnia 31 marca 2021 r. dla źródeł ciepła i spalania paliw użytkowanych przed dniem wejścia w życie ustawy. Dodatkowo w przypadku wszystkich nowych źródeł oraz zmiany danych w deklaracji - obowiązek ten zosta</w:t>
            </w:r>
            <w:r>
              <w:rPr>
                <w:rFonts w:ascii="Times New Roman" w:hAnsi="Times New Roman"/>
              </w:rPr>
              <w:t>je</w:t>
            </w:r>
            <w:r w:rsidRPr="00F84869">
              <w:rPr>
                <w:rFonts w:ascii="Times New Roman" w:hAnsi="Times New Roman"/>
              </w:rPr>
              <w:t xml:space="preserve"> określony na 30 dni od dnia złożenia deklaracji w formie p</w:t>
            </w:r>
            <w:r>
              <w:rPr>
                <w:rFonts w:ascii="Times New Roman" w:hAnsi="Times New Roman"/>
              </w:rPr>
              <w:t>isemnej</w:t>
            </w:r>
            <w:r w:rsidRPr="00F84869">
              <w:rPr>
                <w:rFonts w:ascii="Times New Roman" w:hAnsi="Times New Roman"/>
              </w:rPr>
              <w:t>. Wprowadzony obowiązek złożenia deklaracji o użytkowanych źródłach ciepła i spalania paliw stanowi niezwykle istotne rozwiązanie dla organów samorządowych –przez złożone deklaracje zostaną zinwentaryzowane wszystkie źródła ciepła i spalania paliw, co w znaczący sposób ułatwi funkcjonowanie samorządu.</w:t>
            </w:r>
          </w:p>
          <w:p w:rsidR="004C1F3A" w:rsidRPr="004C1F3A" w:rsidRDefault="00E2430C" w:rsidP="004C1F3A">
            <w:pPr>
              <w:spacing w:line="240" w:lineRule="auto"/>
              <w:jc w:val="both"/>
              <w:rPr>
                <w:rFonts w:ascii="Times New Roman" w:hAnsi="Times New Roman"/>
                <w:color w:val="000000"/>
                <w:spacing w:val="-2"/>
              </w:rPr>
            </w:pPr>
            <w:r>
              <w:rPr>
                <w:rFonts w:ascii="Times New Roman" w:hAnsi="Times New Roman"/>
                <w:color w:val="000000"/>
                <w:spacing w:val="-2"/>
              </w:rPr>
              <w:t xml:space="preserve">II) </w:t>
            </w:r>
            <w:r w:rsidR="001B67EC">
              <w:rPr>
                <w:rFonts w:ascii="Times New Roman" w:hAnsi="Times New Roman"/>
                <w:color w:val="000000"/>
                <w:spacing w:val="-2"/>
              </w:rPr>
              <w:t>CEEB</w:t>
            </w:r>
            <w:r w:rsidR="004C1F3A" w:rsidRPr="004C1F3A">
              <w:rPr>
                <w:rFonts w:ascii="Times New Roman" w:hAnsi="Times New Roman"/>
                <w:color w:val="000000"/>
                <w:spacing w:val="-2"/>
              </w:rPr>
              <w:t xml:space="preserve"> prowadzi minister właściwy do spraw</w:t>
            </w:r>
            <w:r w:rsidR="00C01EC9">
              <w:t xml:space="preserve"> </w:t>
            </w:r>
            <w:r w:rsidR="00C01EC9" w:rsidRPr="00C01EC9">
              <w:rPr>
                <w:rFonts w:ascii="Times New Roman" w:hAnsi="Times New Roman"/>
                <w:color w:val="000000"/>
                <w:spacing w:val="-2"/>
              </w:rPr>
              <w:t>budownictwa, planowania i zagospodarowania przestrzennego oraz mieszkalnictwa</w:t>
            </w:r>
            <w:r w:rsidR="004C1F3A" w:rsidRPr="004C1F3A">
              <w:rPr>
                <w:rFonts w:ascii="Times New Roman" w:hAnsi="Times New Roman"/>
                <w:color w:val="000000"/>
                <w:spacing w:val="-2"/>
              </w:rPr>
              <w:t xml:space="preserve"> w systemie teleinformatycznym, który jest administratorem danych zgromadzonych w </w:t>
            </w:r>
            <w:r w:rsidR="00C0242C">
              <w:rPr>
                <w:rFonts w:ascii="Times New Roman" w:hAnsi="Times New Roman"/>
                <w:color w:val="000000"/>
                <w:spacing w:val="-2"/>
              </w:rPr>
              <w:t>CEEB</w:t>
            </w:r>
            <w:r w:rsidR="004C1F3A" w:rsidRPr="004C1F3A">
              <w:rPr>
                <w:rFonts w:ascii="Times New Roman" w:hAnsi="Times New Roman"/>
                <w:color w:val="000000"/>
                <w:spacing w:val="-2"/>
              </w:rPr>
              <w:t xml:space="preserve"> zgodnie z przepisami ustawy z dnia 17 lutego 2005 r. o informatyzacji działalności podmiotów realizujących zadania publiczne (Dz. U. z </w:t>
            </w:r>
            <w:r w:rsidR="00DE3173">
              <w:rPr>
                <w:rFonts w:ascii="Times New Roman" w:hAnsi="Times New Roman"/>
                <w:color w:val="000000"/>
                <w:spacing w:val="-2"/>
              </w:rPr>
              <w:t>2019 r. poz. 700, z późn. zm.).</w:t>
            </w:r>
          </w:p>
          <w:p w:rsidR="004C1F3A" w:rsidRPr="004C1F3A" w:rsidRDefault="004C1F3A" w:rsidP="004C1F3A">
            <w:pPr>
              <w:spacing w:line="240" w:lineRule="auto"/>
              <w:jc w:val="both"/>
              <w:rPr>
                <w:rFonts w:ascii="Times New Roman" w:hAnsi="Times New Roman"/>
                <w:color w:val="000000"/>
                <w:spacing w:val="-2"/>
              </w:rPr>
            </w:pPr>
          </w:p>
          <w:p w:rsidR="004C1F3A" w:rsidRPr="004C1F3A" w:rsidRDefault="00492D1F" w:rsidP="004C1F3A">
            <w:pPr>
              <w:spacing w:line="240" w:lineRule="auto"/>
              <w:jc w:val="both"/>
              <w:rPr>
                <w:rFonts w:ascii="Times New Roman" w:hAnsi="Times New Roman"/>
                <w:color w:val="000000"/>
                <w:spacing w:val="-2"/>
              </w:rPr>
            </w:pPr>
            <w:r>
              <w:rPr>
                <w:rFonts w:ascii="Times New Roman" w:hAnsi="Times New Roman"/>
                <w:color w:val="000000"/>
                <w:spacing w:val="-2"/>
              </w:rPr>
              <w:t>II</w:t>
            </w:r>
            <w:r w:rsidR="00E2430C">
              <w:rPr>
                <w:rFonts w:ascii="Times New Roman" w:hAnsi="Times New Roman"/>
                <w:color w:val="000000"/>
                <w:spacing w:val="-2"/>
              </w:rPr>
              <w:t>I</w:t>
            </w:r>
            <w:r w:rsidR="004C1F3A" w:rsidRPr="004C1F3A">
              <w:rPr>
                <w:rFonts w:ascii="Times New Roman" w:hAnsi="Times New Roman"/>
                <w:color w:val="000000"/>
                <w:spacing w:val="-2"/>
              </w:rPr>
              <w:t xml:space="preserve">) szczegółowy zakres danych gromadzonych w </w:t>
            </w:r>
            <w:r w:rsidR="00C0242C">
              <w:rPr>
                <w:rFonts w:ascii="Times New Roman" w:hAnsi="Times New Roman"/>
                <w:color w:val="000000"/>
                <w:spacing w:val="-2"/>
              </w:rPr>
              <w:t>CEEB</w:t>
            </w:r>
            <w:r w:rsidR="004C1F3A" w:rsidRPr="004C1F3A">
              <w:rPr>
                <w:rFonts w:ascii="Times New Roman" w:hAnsi="Times New Roman"/>
                <w:color w:val="000000"/>
                <w:spacing w:val="-2"/>
              </w:rPr>
              <w:t xml:space="preserve"> zostanie określony w rozporządzeniu Ministra </w:t>
            </w:r>
            <w:r w:rsidR="00342292">
              <w:rPr>
                <w:rFonts w:ascii="Times New Roman" w:hAnsi="Times New Roman"/>
                <w:color w:val="000000"/>
                <w:spacing w:val="-2"/>
              </w:rPr>
              <w:t>Rozwoju</w:t>
            </w:r>
            <w:r w:rsidR="004C1F3A" w:rsidRPr="004C1F3A">
              <w:rPr>
                <w:rFonts w:ascii="Times New Roman" w:hAnsi="Times New Roman"/>
                <w:color w:val="000000"/>
                <w:spacing w:val="-2"/>
              </w:rPr>
              <w:t xml:space="preserve"> w sprawie </w:t>
            </w:r>
            <w:r w:rsidR="00342292">
              <w:rPr>
                <w:rFonts w:ascii="Times New Roman" w:hAnsi="Times New Roman"/>
                <w:color w:val="000000"/>
                <w:spacing w:val="-2"/>
              </w:rPr>
              <w:t>zakresu</w:t>
            </w:r>
            <w:r w:rsidR="004C1F3A" w:rsidRPr="004C1F3A">
              <w:rPr>
                <w:rFonts w:ascii="Times New Roman" w:hAnsi="Times New Roman"/>
                <w:color w:val="000000"/>
                <w:spacing w:val="-2"/>
              </w:rPr>
              <w:t xml:space="preserve"> danych gromadzonych w</w:t>
            </w:r>
            <w:r w:rsidR="00342292">
              <w:rPr>
                <w:rFonts w:ascii="Times New Roman" w:hAnsi="Times New Roman"/>
                <w:color w:val="000000"/>
                <w:spacing w:val="-2"/>
              </w:rPr>
              <w:t xml:space="preserve"> CEEB</w:t>
            </w:r>
            <w:r w:rsidR="004C1F3A" w:rsidRPr="004C1F3A">
              <w:rPr>
                <w:rFonts w:ascii="Times New Roman" w:hAnsi="Times New Roman"/>
                <w:color w:val="000000"/>
                <w:spacing w:val="-2"/>
              </w:rPr>
              <w:t xml:space="preserve">. Rozporządzenie określi zakres danych przekazywanych do </w:t>
            </w:r>
            <w:r w:rsidR="00C0242C">
              <w:rPr>
                <w:rFonts w:ascii="Times New Roman" w:hAnsi="Times New Roman"/>
                <w:color w:val="000000"/>
                <w:spacing w:val="-2"/>
              </w:rPr>
              <w:t>CEEB</w:t>
            </w:r>
            <w:r w:rsidR="004C1F3A" w:rsidRPr="004C1F3A">
              <w:rPr>
                <w:rFonts w:ascii="Times New Roman" w:hAnsi="Times New Roman"/>
                <w:color w:val="000000"/>
                <w:spacing w:val="-2"/>
              </w:rPr>
              <w:t xml:space="preserve"> przez osoby uprawnione oraz uzupełnianych automatycznie przez system teleinformatyczny obsługujący </w:t>
            </w:r>
            <w:r w:rsidR="00ED5F2B">
              <w:rPr>
                <w:rFonts w:ascii="Times New Roman" w:hAnsi="Times New Roman"/>
                <w:color w:val="000000"/>
                <w:spacing w:val="-2"/>
              </w:rPr>
              <w:t>CEEB</w:t>
            </w:r>
            <w:r w:rsidR="004C1F3A" w:rsidRPr="004C1F3A">
              <w:rPr>
                <w:rFonts w:ascii="Times New Roman" w:hAnsi="Times New Roman"/>
                <w:color w:val="000000"/>
                <w:spacing w:val="-2"/>
              </w:rPr>
              <w:t xml:space="preserve">. W </w:t>
            </w:r>
            <w:r w:rsidR="00ED5F2B">
              <w:rPr>
                <w:rFonts w:ascii="Times New Roman" w:hAnsi="Times New Roman"/>
                <w:color w:val="000000"/>
                <w:spacing w:val="-2"/>
              </w:rPr>
              <w:t>CEEB</w:t>
            </w:r>
            <w:r w:rsidR="004C1F3A" w:rsidRPr="004C1F3A">
              <w:rPr>
                <w:rFonts w:ascii="Times New Roman" w:hAnsi="Times New Roman"/>
                <w:color w:val="000000"/>
                <w:spacing w:val="-2"/>
              </w:rPr>
              <w:t xml:space="preserve"> gromadzone będą m.in. następujące dane:</w:t>
            </w:r>
          </w:p>
          <w:p w:rsidR="004C1F3A" w:rsidRPr="004C1F3A" w:rsidRDefault="004C1F3A" w:rsidP="004C1F3A">
            <w:pPr>
              <w:spacing w:line="240" w:lineRule="auto"/>
              <w:jc w:val="both"/>
              <w:rPr>
                <w:rFonts w:ascii="Times New Roman" w:hAnsi="Times New Roman"/>
                <w:color w:val="000000"/>
                <w:spacing w:val="-2"/>
              </w:rPr>
            </w:pPr>
            <w:r w:rsidRPr="004C1F3A">
              <w:rPr>
                <w:rFonts w:ascii="Times New Roman" w:hAnsi="Times New Roman"/>
                <w:color w:val="000000"/>
                <w:spacing w:val="-2"/>
              </w:rPr>
              <w:t>a) o budynku lub jego części (lokalu): adres, identyfikator infrastruktury informacji przestrzenniej (idIIP), funkcja ogólna, rok budowy, liczba kondygnacji, średnia wysokość kondygnacji ogrzewanych, obwód budynku, grubość ocieplenia podłogi na gruncie lub stropu nad piwnicą lub garażem, grubość ocieplenia stropodachu, grubość ocieplenia dachu, stopień ocieplenia ścian zewnętrznych, grubość ocieplenia ścian zewnętrznych, powierzchnia pomieszczeń ogrzewanych, średnia temperatura pomieszczeń ogrzewanych w sezonie grzewczym, data wprowadzenia danych</w:t>
            </w:r>
            <w:r w:rsidR="00DE3173">
              <w:rPr>
                <w:rFonts w:ascii="Times New Roman" w:hAnsi="Times New Roman"/>
                <w:color w:val="000000"/>
                <w:spacing w:val="-2"/>
              </w:rPr>
              <w:t>,</w:t>
            </w:r>
          </w:p>
          <w:p w:rsidR="004C1F3A" w:rsidRPr="004C1F3A" w:rsidRDefault="004C1F3A" w:rsidP="004C1F3A">
            <w:pPr>
              <w:spacing w:line="240" w:lineRule="auto"/>
              <w:jc w:val="both"/>
              <w:rPr>
                <w:rFonts w:ascii="Times New Roman" w:hAnsi="Times New Roman"/>
                <w:color w:val="000000"/>
                <w:spacing w:val="-2"/>
              </w:rPr>
            </w:pPr>
            <w:r w:rsidRPr="004C1F3A">
              <w:rPr>
                <w:rFonts w:ascii="Times New Roman" w:hAnsi="Times New Roman"/>
                <w:color w:val="000000"/>
                <w:spacing w:val="-2"/>
              </w:rPr>
              <w:t xml:space="preserve">b) o źródłach </w:t>
            </w:r>
            <w:r w:rsidR="00342292">
              <w:rPr>
                <w:rFonts w:ascii="Times New Roman" w:hAnsi="Times New Roman"/>
                <w:color w:val="000000"/>
                <w:spacing w:val="-2"/>
              </w:rPr>
              <w:t xml:space="preserve">ciepła, energii elektrycznej i </w:t>
            </w:r>
            <w:r w:rsidRPr="004C1F3A">
              <w:rPr>
                <w:rFonts w:ascii="Times New Roman" w:hAnsi="Times New Roman"/>
                <w:color w:val="000000"/>
                <w:spacing w:val="-2"/>
              </w:rPr>
              <w:t>spalania paliw</w:t>
            </w:r>
            <w:r w:rsidR="00342292">
              <w:rPr>
                <w:rFonts w:ascii="Times New Roman" w:hAnsi="Times New Roman"/>
                <w:color w:val="000000"/>
                <w:spacing w:val="-2"/>
              </w:rPr>
              <w:t xml:space="preserve"> -</w:t>
            </w:r>
            <w:r w:rsidRPr="004C1F3A">
              <w:rPr>
                <w:rFonts w:ascii="Times New Roman" w:hAnsi="Times New Roman"/>
                <w:color w:val="000000"/>
                <w:spacing w:val="-2"/>
              </w:rPr>
              <w:t xml:space="preserve"> wykorzystywanych w budynku lub jego części (lokalu): rodzaj, nominalna moc cieplna lub elektryczna, rodzaj paliwa i jego roczne zużycie, rok montażu, rok produkcji, przeznaczenie, potwierdzenie spełnienia wymagań standardów niskoemisyjnych, klasa kotła na paliwo stałe, sposób podawania paliwa w kotle na paliwo stałe, sprawność przy mocy nominalnej kotła na paliwo stałe, urządzenie odpylające i jego sprawność w kotle na paliwo stałe, źródło danych (tabliczka znamionowa, dokumentacja techniczno-ruchowa lub inne), data wprowadzenia danych</w:t>
            </w:r>
            <w:r w:rsidR="00DE3173">
              <w:rPr>
                <w:rFonts w:ascii="Times New Roman" w:hAnsi="Times New Roman"/>
                <w:color w:val="000000"/>
                <w:spacing w:val="-2"/>
              </w:rPr>
              <w:t>,</w:t>
            </w:r>
          </w:p>
          <w:p w:rsidR="00342292" w:rsidRPr="004C1F3A" w:rsidRDefault="003875A4" w:rsidP="00342292">
            <w:pPr>
              <w:spacing w:line="240" w:lineRule="auto"/>
              <w:jc w:val="both"/>
              <w:rPr>
                <w:rFonts w:ascii="Times New Roman" w:hAnsi="Times New Roman"/>
                <w:color w:val="000000"/>
                <w:spacing w:val="-2"/>
              </w:rPr>
            </w:pPr>
            <w:r>
              <w:rPr>
                <w:rFonts w:ascii="Times New Roman" w:hAnsi="Times New Roman"/>
                <w:color w:val="000000"/>
                <w:spacing w:val="-2"/>
              </w:rPr>
              <w:lastRenderedPageBreak/>
              <w:t xml:space="preserve">c) </w:t>
            </w:r>
            <w:r w:rsidR="004C1F3A" w:rsidRPr="004C1F3A">
              <w:rPr>
                <w:rFonts w:ascii="Times New Roman" w:hAnsi="Times New Roman"/>
                <w:color w:val="000000"/>
                <w:spacing w:val="-2"/>
              </w:rPr>
              <w:t>obejmujące informacj</w:t>
            </w:r>
            <w:r w:rsidR="00342292">
              <w:rPr>
                <w:rFonts w:ascii="Times New Roman" w:hAnsi="Times New Roman"/>
                <w:color w:val="000000"/>
                <w:spacing w:val="-2"/>
              </w:rPr>
              <w:t xml:space="preserve">e dotyczące </w:t>
            </w:r>
            <w:r w:rsidR="00342292" w:rsidRPr="0002666E">
              <w:rPr>
                <w:rFonts w:ascii="Times New Roman" w:hAnsi="Times New Roman"/>
                <w:color w:val="000000"/>
                <w:spacing w:val="-2"/>
              </w:rPr>
              <w:t>przekazanej premii termomodernizacyjnej,</w:t>
            </w:r>
            <w:r w:rsidR="00342292">
              <w:rPr>
                <w:rFonts w:ascii="Times New Roman" w:hAnsi="Times New Roman"/>
                <w:color w:val="000000"/>
                <w:spacing w:val="-2"/>
              </w:rPr>
              <w:t xml:space="preserve"> przekazanej premii remontowej, </w:t>
            </w:r>
            <w:r w:rsidR="00342292" w:rsidRPr="004C1F3A">
              <w:rPr>
                <w:rFonts w:ascii="Times New Roman" w:hAnsi="Times New Roman"/>
                <w:color w:val="000000"/>
                <w:spacing w:val="-2"/>
              </w:rPr>
              <w:t>ul</w:t>
            </w:r>
            <w:r w:rsidR="00342292">
              <w:rPr>
                <w:rFonts w:ascii="Times New Roman" w:hAnsi="Times New Roman"/>
                <w:color w:val="000000"/>
                <w:spacing w:val="-2"/>
              </w:rPr>
              <w:t>gi</w:t>
            </w:r>
            <w:r w:rsidR="00342292" w:rsidRPr="004C1F3A">
              <w:rPr>
                <w:rFonts w:ascii="Times New Roman" w:hAnsi="Times New Roman"/>
                <w:color w:val="000000"/>
                <w:spacing w:val="-2"/>
              </w:rPr>
              <w:t xml:space="preserve"> podatkowej </w:t>
            </w:r>
            <w:r w:rsidR="00342292">
              <w:rPr>
                <w:rFonts w:ascii="Times New Roman" w:hAnsi="Times New Roman"/>
                <w:color w:val="000000"/>
                <w:spacing w:val="-2"/>
              </w:rPr>
              <w:t xml:space="preserve">(termomodernizacyjnej) </w:t>
            </w:r>
            <w:r w:rsidR="00342292" w:rsidRPr="004C1F3A">
              <w:rPr>
                <w:rFonts w:ascii="Times New Roman" w:hAnsi="Times New Roman"/>
                <w:color w:val="000000"/>
                <w:spacing w:val="-2"/>
              </w:rPr>
              <w:t>lub udzielonym ze środków publicznych finansowaniu albo dofinansowaniu</w:t>
            </w:r>
            <w:r w:rsidR="00342292">
              <w:rPr>
                <w:rFonts w:ascii="Times New Roman" w:hAnsi="Times New Roman"/>
                <w:color w:val="000000"/>
                <w:spacing w:val="-2"/>
              </w:rPr>
              <w:t>:</w:t>
            </w:r>
          </w:p>
          <w:p w:rsidR="00342292" w:rsidRPr="0002666E" w:rsidRDefault="00342292" w:rsidP="00342292">
            <w:pPr>
              <w:spacing w:line="240" w:lineRule="auto"/>
              <w:jc w:val="both"/>
              <w:rPr>
                <w:rFonts w:ascii="Times New Roman" w:hAnsi="Times New Roman"/>
                <w:color w:val="000000"/>
                <w:spacing w:val="-2"/>
              </w:rPr>
            </w:pPr>
            <w:r w:rsidRPr="0002666E">
              <w:rPr>
                <w:rFonts w:ascii="Times New Roman" w:hAnsi="Times New Roman"/>
                <w:color w:val="000000"/>
                <w:spacing w:val="-2"/>
              </w:rPr>
              <w:t>- przedsięwzięć termomodernizacyjnych, przedsięwzięć niskoemisyjnych lub przedsięwzięć remontowych,</w:t>
            </w:r>
          </w:p>
          <w:p w:rsidR="00342292" w:rsidRPr="0002666E" w:rsidRDefault="00342292" w:rsidP="00342292">
            <w:pPr>
              <w:spacing w:line="240" w:lineRule="auto"/>
              <w:jc w:val="both"/>
              <w:rPr>
                <w:rFonts w:ascii="Times New Roman" w:hAnsi="Times New Roman"/>
                <w:color w:val="000000"/>
                <w:spacing w:val="-2"/>
              </w:rPr>
            </w:pPr>
            <w:r w:rsidRPr="0002666E">
              <w:rPr>
                <w:rFonts w:ascii="Times New Roman" w:hAnsi="Times New Roman"/>
                <w:color w:val="000000"/>
                <w:spacing w:val="-2"/>
              </w:rPr>
              <w:t>- odnawialnych źródeł energii, o których w art. 2 p</w:t>
            </w:r>
            <w:r>
              <w:rPr>
                <w:rFonts w:ascii="Times New Roman" w:hAnsi="Times New Roman"/>
                <w:color w:val="000000"/>
                <w:spacing w:val="-2"/>
              </w:rPr>
              <w:t xml:space="preserve">kt 22 ustawy </w:t>
            </w:r>
            <w:r w:rsidR="0032609B">
              <w:rPr>
                <w:rFonts w:ascii="Times New Roman" w:hAnsi="Times New Roman"/>
                <w:color w:val="000000"/>
                <w:spacing w:val="-2"/>
              </w:rPr>
              <w:t xml:space="preserve">z dnia 20 lutego 2015 r. </w:t>
            </w:r>
            <w:r>
              <w:rPr>
                <w:rFonts w:ascii="Times New Roman" w:hAnsi="Times New Roman"/>
                <w:color w:val="000000"/>
                <w:spacing w:val="-2"/>
              </w:rPr>
              <w:t>o odnawialnych źródłach energii,</w:t>
            </w:r>
          </w:p>
          <w:p w:rsidR="00342292" w:rsidRDefault="00342292" w:rsidP="00342292">
            <w:pPr>
              <w:spacing w:line="240" w:lineRule="auto"/>
              <w:jc w:val="both"/>
              <w:rPr>
                <w:rFonts w:ascii="Times New Roman" w:hAnsi="Times New Roman"/>
                <w:color w:val="000000"/>
                <w:spacing w:val="-2"/>
              </w:rPr>
            </w:pPr>
            <w:r w:rsidRPr="0002666E">
              <w:rPr>
                <w:rFonts w:ascii="Times New Roman" w:hAnsi="Times New Roman"/>
                <w:color w:val="000000"/>
                <w:spacing w:val="-2"/>
              </w:rPr>
              <w:t>- innych przedsięwzięć związanych z ochroną powietrza</w:t>
            </w:r>
          </w:p>
          <w:p w:rsidR="004C1F3A" w:rsidRPr="004C1F3A" w:rsidRDefault="004C1F3A" w:rsidP="004C1F3A">
            <w:pPr>
              <w:spacing w:line="240" w:lineRule="auto"/>
              <w:jc w:val="both"/>
              <w:rPr>
                <w:rFonts w:ascii="Times New Roman" w:hAnsi="Times New Roman"/>
                <w:color w:val="000000"/>
                <w:spacing w:val="-2"/>
              </w:rPr>
            </w:pPr>
            <w:r w:rsidRPr="004C1F3A">
              <w:rPr>
                <w:rFonts w:ascii="Times New Roman" w:hAnsi="Times New Roman"/>
                <w:color w:val="000000"/>
                <w:spacing w:val="-2"/>
              </w:rPr>
              <w:t>w zakresie: adresu budynku lub lokalu, na który udzielono dofinansowania, rodzaju i kwoty udzielonego dofinansowania, całkowit</w:t>
            </w:r>
            <w:r w:rsidR="00E2430C">
              <w:rPr>
                <w:rFonts w:ascii="Times New Roman" w:hAnsi="Times New Roman"/>
                <w:color w:val="000000"/>
                <w:spacing w:val="-2"/>
              </w:rPr>
              <w:t>ego</w:t>
            </w:r>
            <w:r w:rsidRPr="004C1F3A">
              <w:rPr>
                <w:rFonts w:ascii="Times New Roman" w:hAnsi="Times New Roman"/>
                <w:color w:val="000000"/>
                <w:spacing w:val="-2"/>
              </w:rPr>
              <w:t xml:space="preserve"> koszt</w:t>
            </w:r>
            <w:r w:rsidR="00E2430C">
              <w:rPr>
                <w:rFonts w:ascii="Times New Roman" w:hAnsi="Times New Roman"/>
                <w:color w:val="000000"/>
                <w:spacing w:val="-2"/>
              </w:rPr>
              <w:t>u</w:t>
            </w:r>
            <w:r w:rsidRPr="004C1F3A">
              <w:rPr>
                <w:rFonts w:ascii="Times New Roman" w:hAnsi="Times New Roman"/>
                <w:color w:val="000000"/>
                <w:spacing w:val="-2"/>
              </w:rPr>
              <w:t xml:space="preserve"> przedsięwzięcia, przedmiotu  i źródła dofinansowania, okresu trwałości przedsięwzięcia w ramach, którego udzielono dofinansowania.</w:t>
            </w:r>
          </w:p>
          <w:p w:rsidR="004C1F3A" w:rsidRPr="004C1F3A" w:rsidRDefault="004C1F3A" w:rsidP="004C1F3A">
            <w:pPr>
              <w:spacing w:line="240" w:lineRule="auto"/>
              <w:jc w:val="both"/>
              <w:rPr>
                <w:rFonts w:ascii="Times New Roman" w:hAnsi="Times New Roman"/>
                <w:color w:val="000000"/>
                <w:spacing w:val="-2"/>
              </w:rPr>
            </w:pPr>
          </w:p>
          <w:p w:rsidR="004C1F3A" w:rsidRPr="004C1F3A" w:rsidRDefault="00E2430C" w:rsidP="004C1F3A">
            <w:pPr>
              <w:spacing w:line="240" w:lineRule="auto"/>
              <w:jc w:val="both"/>
              <w:rPr>
                <w:rFonts w:ascii="Times New Roman" w:hAnsi="Times New Roman"/>
                <w:color w:val="000000"/>
                <w:spacing w:val="-2"/>
              </w:rPr>
            </w:pPr>
            <w:r>
              <w:rPr>
                <w:rFonts w:ascii="Times New Roman" w:hAnsi="Times New Roman"/>
                <w:color w:val="000000"/>
                <w:spacing w:val="-2"/>
              </w:rPr>
              <w:t>IV</w:t>
            </w:r>
            <w:r w:rsidR="004C1F3A" w:rsidRPr="004C1F3A">
              <w:rPr>
                <w:rFonts w:ascii="Times New Roman" w:hAnsi="Times New Roman"/>
                <w:color w:val="000000"/>
                <w:spacing w:val="-2"/>
              </w:rPr>
              <w:t xml:space="preserve">) określenie osób uprawnionych do wprowadzania danych do </w:t>
            </w:r>
            <w:r w:rsidR="00C0242C">
              <w:rPr>
                <w:rFonts w:ascii="Times New Roman" w:hAnsi="Times New Roman"/>
                <w:color w:val="000000"/>
                <w:spacing w:val="-2"/>
              </w:rPr>
              <w:t>CEEB</w:t>
            </w:r>
            <w:r w:rsidR="004C1F3A" w:rsidRPr="004C1F3A">
              <w:rPr>
                <w:rFonts w:ascii="Times New Roman" w:hAnsi="Times New Roman"/>
                <w:color w:val="000000"/>
                <w:spacing w:val="-2"/>
              </w:rPr>
              <w:t xml:space="preserve"> oraz procedury wpisu do wykazu osób uprawnionych. Inwentaryzacja budynków następuję podczas czynności wykonywanych przez uprawnione osoby na podstawie przepisów szczególnych. Wykonując swe ustawowe obowiązki, osoba uprawniona dokona dodatkowo inwentaryzacji </w:t>
            </w:r>
            <w:r w:rsidR="00490C02">
              <w:rPr>
                <w:rFonts w:ascii="Times New Roman" w:hAnsi="Times New Roman"/>
                <w:color w:val="000000"/>
                <w:spacing w:val="-2"/>
              </w:rPr>
              <w:t xml:space="preserve">budynku </w:t>
            </w:r>
            <w:r w:rsidR="004C1F3A" w:rsidRPr="004C1F3A">
              <w:rPr>
                <w:rFonts w:ascii="Times New Roman" w:hAnsi="Times New Roman"/>
                <w:color w:val="000000"/>
                <w:spacing w:val="-2"/>
              </w:rPr>
              <w:t xml:space="preserve">stosownie do projektowanych rozwiązań. Inwentaryzacja budynku nie będzie podlegać żadnej opłacie </w:t>
            </w:r>
            <w:r w:rsidR="00C01EC9">
              <w:rPr>
                <w:rFonts w:ascii="Times New Roman" w:hAnsi="Times New Roman"/>
                <w:color w:val="000000"/>
                <w:spacing w:val="-2"/>
              </w:rPr>
              <w:t xml:space="preserve">administracyjnej </w:t>
            </w:r>
            <w:r w:rsidR="004C1F3A" w:rsidRPr="004C1F3A">
              <w:rPr>
                <w:rFonts w:ascii="Times New Roman" w:hAnsi="Times New Roman"/>
                <w:color w:val="000000"/>
                <w:spacing w:val="-2"/>
              </w:rPr>
              <w:t>– nie wpływa więc na sytuację finansową mieszkańców budynków. Poza obowiązkiem inwentaryzacji budynków nie wprowadza się żadnych dodatkowych obowiązków na podmioty uprawnione</w:t>
            </w:r>
            <w:r>
              <w:rPr>
                <w:rFonts w:ascii="Times New Roman" w:hAnsi="Times New Roman"/>
                <w:color w:val="000000"/>
                <w:spacing w:val="-2"/>
              </w:rPr>
              <w:t xml:space="preserve"> </w:t>
            </w:r>
            <w:r w:rsidR="004C1F3A" w:rsidRPr="004C1F3A">
              <w:rPr>
                <w:rFonts w:ascii="Times New Roman" w:hAnsi="Times New Roman"/>
                <w:color w:val="000000"/>
                <w:spacing w:val="-2"/>
              </w:rPr>
              <w:t xml:space="preserve">do wprowadzania danych do </w:t>
            </w:r>
            <w:r w:rsidR="00C0242C">
              <w:rPr>
                <w:rFonts w:ascii="Times New Roman" w:hAnsi="Times New Roman"/>
                <w:color w:val="000000"/>
                <w:spacing w:val="-2"/>
              </w:rPr>
              <w:t>CEEB</w:t>
            </w:r>
            <w:r w:rsidR="004C1F3A" w:rsidRPr="004C1F3A">
              <w:rPr>
                <w:rFonts w:ascii="Times New Roman" w:hAnsi="Times New Roman"/>
                <w:color w:val="000000"/>
                <w:spacing w:val="-2"/>
              </w:rPr>
              <w:t>. Zaprojektowane rozwiązanie zostanie oparte na istniejących w obowiązującym systemie prawa mechanizmach (kontrole, przeglądy, itp.). Analiza możliwych do realizacji wariantów wykazała bowiem, że nie jest celowym powoływanie do tego typu działań nowej służby inspekcyjnej – rozwiązanie to wiązałoby się z diametralnie wyższymi kosztami funkcjonowania nowego organu administracji publicznej. Projektowane rozwiązanie opiera się na dokonywaniu inwentaryzacji „przy okazji” wykonywania innych czynności ustawowych przez uprawnione osoby – jest to rozwiązanie tańsze i prostsze, które nie ingeruje w żadnej mierze w dotychczasowe rozwiązania. Przedmiotowa regulacja przewiduje zatem</w:t>
            </w:r>
            <w:r>
              <w:rPr>
                <w:rFonts w:ascii="Times New Roman" w:hAnsi="Times New Roman"/>
                <w:color w:val="000000"/>
                <w:spacing w:val="-2"/>
              </w:rPr>
              <w:t xml:space="preserve"> </w:t>
            </w:r>
            <w:r w:rsidR="004C1F3A" w:rsidRPr="004C1F3A">
              <w:rPr>
                <w:rFonts w:ascii="Times New Roman" w:hAnsi="Times New Roman"/>
                <w:color w:val="000000"/>
                <w:spacing w:val="-2"/>
              </w:rPr>
              <w:t>inwentaryzację budynków w przypadku dokonywania czynności kontrolnych przez funkcjonariuszy publicznych na podstawie:</w:t>
            </w:r>
          </w:p>
          <w:p w:rsidR="004C1F3A" w:rsidRPr="004C1F3A" w:rsidRDefault="004C1F3A" w:rsidP="004C1F3A">
            <w:pPr>
              <w:spacing w:line="240" w:lineRule="auto"/>
              <w:jc w:val="both"/>
              <w:rPr>
                <w:rFonts w:ascii="Times New Roman" w:hAnsi="Times New Roman"/>
                <w:color w:val="000000"/>
                <w:spacing w:val="-2"/>
              </w:rPr>
            </w:pPr>
            <w:r w:rsidRPr="004C1F3A">
              <w:rPr>
                <w:rFonts w:ascii="Times New Roman" w:hAnsi="Times New Roman"/>
                <w:color w:val="000000"/>
                <w:spacing w:val="-2"/>
              </w:rPr>
              <w:t>a) art. 96 ust. 1</w:t>
            </w:r>
            <w:r w:rsidR="009B6176">
              <w:rPr>
                <w:rFonts w:ascii="Times New Roman" w:hAnsi="Times New Roman"/>
                <w:color w:val="000000"/>
                <w:spacing w:val="-2"/>
              </w:rPr>
              <w:t xml:space="preserve"> </w:t>
            </w:r>
            <w:r w:rsidRPr="004C1F3A">
              <w:rPr>
                <w:rFonts w:ascii="Times New Roman" w:hAnsi="Times New Roman"/>
                <w:color w:val="000000"/>
                <w:spacing w:val="-2"/>
              </w:rPr>
              <w:t xml:space="preserve">ustawy </w:t>
            </w:r>
            <w:r w:rsidR="0009694D" w:rsidRPr="0009694D">
              <w:rPr>
                <w:rFonts w:ascii="Times New Roman" w:hAnsi="Times New Roman"/>
                <w:color w:val="000000"/>
                <w:spacing w:val="-2"/>
              </w:rPr>
              <w:t xml:space="preserve">z dnia 27 kwietnia 2001 r. – Prawo ochrony środowiska </w:t>
            </w:r>
            <w:r w:rsidR="0009694D">
              <w:rPr>
                <w:rFonts w:ascii="Times New Roman" w:hAnsi="Times New Roman"/>
                <w:color w:val="000000"/>
                <w:spacing w:val="-2"/>
              </w:rPr>
              <w:t xml:space="preserve">- </w:t>
            </w:r>
            <w:r w:rsidRPr="004C1F3A">
              <w:rPr>
                <w:rFonts w:ascii="Times New Roman" w:hAnsi="Times New Roman"/>
                <w:color w:val="000000"/>
                <w:spacing w:val="-2"/>
              </w:rPr>
              <w:t xml:space="preserve">przez upoważnionych pracowników jednostek samorządu terytorialnego </w:t>
            </w:r>
            <w:r w:rsidR="008078AE" w:rsidRPr="008078AE">
              <w:rPr>
                <w:rFonts w:ascii="Times New Roman" w:hAnsi="Times New Roman"/>
                <w:color w:val="000000"/>
                <w:spacing w:val="-2"/>
              </w:rPr>
              <w:t xml:space="preserve">działających w imieniu </w:t>
            </w:r>
            <w:r w:rsidRPr="004C1F3A">
              <w:rPr>
                <w:rFonts w:ascii="Times New Roman" w:hAnsi="Times New Roman"/>
                <w:color w:val="000000"/>
                <w:spacing w:val="-2"/>
              </w:rPr>
              <w:t>wójt</w:t>
            </w:r>
            <w:r w:rsidR="008078AE">
              <w:rPr>
                <w:rFonts w:ascii="Times New Roman" w:hAnsi="Times New Roman"/>
                <w:color w:val="000000"/>
                <w:spacing w:val="-2"/>
              </w:rPr>
              <w:t>a</w:t>
            </w:r>
            <w:r w:rsidRPr="004C1F3A">
              <w:rPr>
                <w:rFonts w:ascii="Times New Roman" w:hAnsi="Times New Roman"/>
                <w:color w:val="000000"/>
                <w:spacing w:val="-2"/>
              </w:rPr>
              <w:t>, burmistrz</w:t>
            </w:r>
            <w:r w:rsidR="008078AE">
              <w:rPr>
                <w:rFonts w:ascii="Times New Roman" w:hAnsi="Times New Roman"/>
                <w:color w:val="000000"/>
                <w:spacing w:val="-2"/>
              </w:rPr>
              <w:t>a lub</w:t>
            </w:r>
            <w:r w:rsidRPr="004C1F3A">
              <w:rPr>
                <w:rFonts w:ascii="Times New Roman" w:hAnsi="Times New Roman"/>
                <w:color w:val="000000"/>
                <w:spacing w:val="-2"/>
              </w:rPr>
              <w:t xml:space="preserve"> prezydent</w:t>
            </w:r>
            <w:r w:rsidR="008078AE">
              <w:rPr>
                <w:rFonts w:ascii="Times New Roman" w:hAnsi="Times New Roman"/>
                <w:color w:val="000000"/>
                <w:spacing w:val="-2"/>
              </w:rPr>
              <w:t>a</w:t>
            </w:r>
            <w:r w:rsidRPr="004C1F3A">
              <w:rPr>
                <w:rFonts w:ascii="Times New Roman" w:hAnsi="Times New Roman"/>
                <w:color w:val="000000"/>
                <w:spacing w:val="-2"/>
              </w:rPr>
              <w:t xml:space="preserve"> miasta;</w:t>
            </w:r>
          </w:p>
          <w:p w:rsidR="004C1F3A" w:rsidRPr="004C1F3A" w:rsidRDefault="004C1F3A" w:rsidP="004C1F3A">
            <w:pPr>
              <w:spacing w:line="240" w:lineRule="auto"/>
              <w:jc w:val="both"/>
              <w:rPr>
                <w:rFonts w:ascii="Times New Roman" w:hAnsi="Times New Roman"/>
                <w:color w:val="000000"/>
                <w:spacing w:val="-2"/>
              </w:rPr>
            </w:pPr>
            <w:r w:rsidRPr="004C1F3A">
              <w:rPr>
                <w:rFonts w:ascii="Times New Roman" w:hAnsi="Times New Roman"/>
                <w:color w:val="000000"/>
                <w:spacing w:val="-2"/>
              </w:rPr>
              <w:t xml:space="preserve">b) art. 379 ust. 1 ustawy </w:t>
            </w:r>
            <w:r w:rsidR="0009694D" w:rsidRPr="0009694D">
              <w:rPr>
                <w:rFonts w:ascii="Times New Roman" w:hAnsi="Times New Roman"/>
                <w:color w:val="000000"/>
                <w:spacing w:val="-2"/>
              </w:rPr>
              <w:t>z dnia 27 kwietnia 2001 r. – Prawo ochrony środowiska</w:t>
            </w:r>
            <w:r w:rsidR="0009694D">
              <w:rPr>
                <w:rFonts w:ascii="Times New Roman" w:hAnsi="Times New Roman"/>
                <w:color w:val="000000"/>
                <w:spacing w:val="-2"/>
              </w:rPr>
              <w:t xml:space="preserve"> -</w:t>
            </w:r>
            <w:r w:rsidRPr="004C1F3A">
              <w:rPr>
                <w:rFonts w:ascii="Times New Roman" w:hAnsi="Times New Roman"/>
                <w:color w:val="000000"/>
                <w:spacing w:val="-2"/>
              </w:rPr>
              <w:t xml:space="preserve"> przez uprawnionych pracowników organów ochrony środowiska;</w:t>
            </w:r>
          </w:p>
          <w:p w:rsidR="004C1F3A" w:rsidRPr="004C1F3A" w:rsidRDefault="004C1F3A" w:rsidP="004C1F3A">
            <w:pPr>
              <w:spacing w:line="240" w:lineRule="auto"/>
              <w:jc w:val="both"/>
              <w:rPr>
                <w:rFonts w:ascii="Times New Roman" w:hAnsi="Times New Roman"/>
                <w:color w:val="000000"/>
                <w:spacing w:val="-2"/>
              </w:rPr>
            </w:pPr>
            <w:r w:rsidRPr="004C1F3A">
              <w:rPr>
                <w:rFonts w:ascii="Times New Roman" w:hAnsi="Times New Roman"/>
                <w:color w:val="000000"/>
                <w:spacing w:val="-2"/>
              </w:rPr>
              <w:t xml:space="preserve">c) art. 9u ustawy z dnia 13 września 1996 r. o utrzymaniu czystości i porządku w gminach </w:t>
            </w:r>
            <w:r w:rsidR="000244E6" w:rsidRPr="000244E6">
              <w:rPr>
                <w:rFonts w:ascii="Times New Roman" w:hAnsi="Times New Roman"/>
                <w:color w:val="000000"/>
                <w:spacing w:val="-2"/>
              </w:rPr>
              <w:t>(Dz.</w:t>
            </w:r>
            <w:r w:rsidR="000244E6">
              <w:rPr>
                <w:rFonts w:ascii="Times New Roman" w:hAnsi="Times New Roman"/>
                <w:color w:val="000000"/>
                <w:spacing w:val="-2"/>
              </w:rPr>
              <w:t xml:space="preserve"> </w:t>
            </w:r>
            <w:r w:rsidR="000244E6" w:rsidRPr="000244E6">
              <w:rPr>
                <w:rFonts w:ascii="Times New Roman" w:hAnsi="Times New Roman"/>
                <w:color w:val="000000"/>
                <w:spacing w:val="-2"/>
              </w:rPr>
              <w:t>U. z 2019 r. poz. 2010</w:t>
            </w:r>
            <w:r w:rsidR="000D42CA">
              <w:rPr>
                <w:rFonts w:ascii="Times New Roman" w:hAnsi="Times New Roman"/>
                <w:color w:val="000000"/>
                <w:spacing w:val="-2"/>
              </w:rPr>
              <w:t>, z późn. zm.</w:t>
            </w:r>
            <w:r w:rsidR="000244E6" w:rsidRPr="000244E6">
              <w:rPr>
                <w:rFonts w:ascii="Times New Roman" w:hAnsi="Times New Roman"/>
                <w:color w:val="000000"/>
                <w:spacing w:val="-2"/>
              </w:rPr>
              <w:t>)</w:t>
            </w:r>
            <w:r w:rsidR="000244E6">
              <w:rPr>
                <w:rFonts w:ascii="Times New Roman" w:hAnsi="Times New Roman"/>
                <w:color w:val="000000"/>
                <w:spacing w:val="-2"/>
              </w:rPr>
              <w:t xml:space="preserve"> </w:t>
            </w:r>
            <w:r w:rsidR="0009694D">
              <w:rPr>
                <w:rFonts w:ascii="Times New Roman" w:hAnsi="Times New Roman"/>
                <w:color w:val="000000"/>
                <w:spacing w:val="-2"/>
              </w:rPr>
              <w:t>-</w:t>
            </w:r>
            <w:r w:rsidRPr="004C1F3A">
              <w:rPr>
                <w:rFonts w:ascii="Times New Roman" w:hAnsi="Times New Roman"/>
                <w:color w:val="000000"/>
                <w:spacing w:val="-2"/>
              </w:rPr>
              <w:t xml:space="preserve"> przez upoważnionych pracowników jednostek samorządu terytorialnego działających w imieniu wójta, burmistrza lub prezydenta miasta;</w:t>
            </w:r>
          </w:p>
          <w:p w:rsidR="004C1F3A" w:rsidRPr="004C1F3A" w:rsidRDefault="004C1F3A" w:rsidP="004C1F3A">
            <w:pPr>
              <w:spacing w:line="240" w:lineRule="auto"/>
              <w:jc w:val="both"/>
              <w:rPr>
                <w:rFonts w:ascii="Times New Roman" w:hAnsi="Times New Roman"/>
                <w:color w:val="000000"/>
                <w:spacing w:val="-2"/>
              </w:rPr>
            </w:pPr>
            <w:r w:rsidRPr="004C1F3A">
              <w:rPr>
                <w:rFonts w:ascii="Times New Roman" w:hAnsi="Times New Roman"/>
                <w:color w:val="000000"/>
                <w:spacing w:val="-2"/>
              </w:rPr>
              <w:t xml:space="preserve">d) art. 9 ust. 1  ustawy z dnia 20 lipca 1991 r. o Inspekcji Ochrony Środowiska </w:t>
            </w:r>
            <w:r w:rsidR="00ED2840">
              <w:rPr>
                <w:rFonts w:ascii="Times New Roman" w:hAnsi="Times New Roman"/>
                <w:color w:val="000000"/>
                <w:spacing w:val="-2"/>
              </w:rPr>
              <w:t>(Dz. U. z 2019 r. poz. 1355</w:t>
            </w:r>
            <w:r w:rsidR="00DE3173">
              <w:rPr>
                <w:rFonts w:ascii="Times New Roman" w:hAnsi="Times New Roman"/>
                <w:color w:val="000000"/>
                <w:spacing w:val="-2"/>
              </w:rPr>
              <w:t>,</w:t>
            </w:r>
            <w:r w:rsidR="000D42CA">
              <w:rPr>
                <w:rFonts w:ascii="Times New Roman" w:hAnsi="Times New Roman"/>
                <w:color w:val="000000"/>
                <w:spacing w:val="-2"/>
              </w:rPr>
              <w:t xml:space="preserve"> z późn. zm.</w:t>
            </w:r>
            <w:r w:rsidR="00ED2840">
              <w:rPr>
                <w:rFonts w:ascii="Times New Roman" w:hAnsi="Times New Roman"/>
                <w:color w:val="000000"/>
                <w:spacing w:val="-2"/>
              </w:rPr>
              <w:t xml:space="preserve">) </w:t>
            </w:r>
            <w:r w:rsidRPr="004C1F3A">
              <w:rPr>
                <w:rFonts w:ascii="Times New Roman" w:hAnsi="Times New Roman"/>
                <w:color w:val="000000"/>
                <w:spacing w:val="-2"/>
              </w:rPr>
              <w:t>– przez inspektorów ochrony środowiska</w:t>
            </w:r>
            <w:r w:rsidR="008078AE">
              <w:rPr>
                <w:rFonts w:ascii="Times New Roman" w:hAnsi="Times New Roman"/>
                <w:color w:val="000000"/>
                <w:spacing w:val="-2"/>
              </w:rPr>
              <w:t>;</w:t>
            </w:r>
            <w:r w:rsidRPr="004C1F3A">
              <w:rPr>
                <w:rFonts w:ascii="Times New Roman" w:hAnsi="Times New Roman"/>
                <w:color w:val="000000"/>
                <w:spacing w:val="-2"/>
              </w:rPr>
              <w:t xml:space="preserve"> </w:t>
            </w:r>
          </w:p>
          <w:p w:rsidR="00C01EC9" w:rsidRDefault="008078AE" w:rsidP="004C1F3A">
            <w:pPr>
              <w:spacing w:line="240" w:lineRule="auto"/>
              <w:jc w:val="both"/>
              <w:rPr>
                <w:rFonts w:ascii="Times New Roman" w:hAnsi="Times New Roman"/>
                <w:color w:val="000000"/>
                <w:spacing w:val="-2"/>
              </w:rPr>
            </w:pPr>
            <w:r>
              <w:rPr>
                <w:rFonts w:ascii="Times New Roman" w:hAnsi="Times New Roman"/>
                <w:color w:val="000000"/>
                <w:spacing w:val="-2"/>
              </w:rPr>
              <w:t xml:space="preserve">e) </w:t>
            </w:r>
            <w:r w:rsidR="004C1F3A" w:rsidRPr="004C1F3A">
              <w:rPr>
                <w:rFonts w:ascii="Times New Roman" w:hAnsi="Times New Roman"/>
                <w:color w:val="000000"/>
                <w:spacing w:val="-2"/>
              </w:rPr>
              <w:t xml:space="preserve">art. 62 ust. 1 pkt 1 lit. c ustawy z dnia 7 lipca 1994 r. </w:t>
            </w:r>
            <w:r w:rsidR="00076EA8" w:rsidRPr="00076EA8">
              <w:rPr>
                <w:rFonts w:ascii="Times New Roman" w:hAnsi="Times New Roman"/>
                <w:color w:val="000000"/>
                <w:spacing w:val="-2"/>
              </w:rPr>
              <w:t>–</w:t>
            </w:r>
            <w:r w:rsidR="00076EA8">
              <w:rPr>
                <w:rFonts w:ascii="Times New Roman" w:hAnsi="Times New Roman"/>
                <w:color w:val="000000"/>
                <w:spacing w:val="-2"/>
              </w:rPr>
              <w:t xml:space="preserve"> </w:t>
            </w:r>
            <w:r w:rsidR="004C1F3A" w:rsidRPr="004C1F3A">
              <w:rPr>
                <w:rFonts w:ascii="Times New Roman" w:hAnsi="Times New Roman"/>
                <w:color w:val="000000"/>
                <w:spacing w:val="-2"/>
              </w:rPr>
              <w:t>Prawo budowlane</w:t>
            </w:r>
            <w:r w:rsidR="00ED2840">
              <w:rPr>
                <w:rFonts w:ascii="Times New Roman" w:hAnsi="Times New Roman"/>
                <w:color w:val="000000"/>
                <w:spacing w:val="-2"/>
              </w:rPr>
              <w:t xml:space="preserve"> (Dz. U. z 2019 r. poz. 1186</w:t>
            </w:r>
            <w:r w:rsidR="00DE3173">
              <w:rPr>
                <w:rFonts w:ascii="Times New Roman" w:hAnsi="Times New Roman"/>
                <w:color w:val="000000"/>
                <w:spacing w:val="-2"/>
              </w:rPr>
              <w:t>, z późn. zm.)</w:t>
            </w:r>
            <w:r>
              <w:rPr>
                <w:rFonts w:ascii="Times New Roman" w:hAnsi="Times New Roman"/>
                <w:color w:val="000000"/>
                <w:spacing w:val="-2"/>
              </w:rPr>
              <w:t xml:space="preserve"> </w:t>
            </w:r>
            <w:r w:rsidR="0009694D">
              <w:rPr>
                <w:rFonts w:ascii="Times New Roman" w:hAnsi="Times New Roman"/>
                <w:color w:val="000000"/>
                <w:spacing w:val="-2"/>
              </w:rPr>
              <w:t>-</w:t>
            </w:r>
            <w:r w:rsidR="004C1F3A" w:rsidRPr="004C1F3A">
              <w:rPr>
                <w:rFonts w:ascii="Times New Roman" w:hAnsi="Times New Roman"/>
                <w:color w:val="000000"/>
                <w:spacing w:val="-2"/>
              </w:rPr>
              <w:t xml:space="preserve"> przez osoby posiadające </w:t>
            </w:r>
            <w:r w:rsidR="000B49DC">
              <w:rPr>
                <w:rFonts w:ascii="Times New Roman" w:hAnsi="Times New Roman"/>
                <w:color w:val="000000"/>
                <w:spacing w:val="-2"/>
              </w:rPr>
              <w:t xml:space="preserve">uprawnienia </w:t>
            </w:r>
            <w:r w:rsidR="004C1F3A" w:rsidRPr="004C1F3A">
              <w:rPr>
                <w:rFonts w:ascii="Times New Roman" w:hAnsi="Times New Roman"/>
                <w:color w:val="000000"/>
                <w:spacing w:val="-2"/>
              </w:rPr>
              <w:t>mistrza kominiarskiego oraz przez osoby z uprawnieniami budowlanymi odpowiedniej specjalności</w:t>
            </w:r>
            <w:r w:rsidR="00C01EC9">
              <w:rPr>
                <w:rFonts w:ascii="Times New Roman" w:hAnsi="Times New Roman"/>
                <w:color w:val="000000"/>
                <w:spacing w:val="-2"/>
              </w:rPr>
              <w:t>;</w:t>
            </w:r>
          </w:p>
          <w:p w:rsidR="00C01EC9" w:rsidRDefault="00C01EC9" w:rsidP="004C1F3A">
            <w:pPr>
              <w:spacing w:line="240" w:lineRule="auto"/>
              <w:jc w:val="both"/>
              <w:rPr>
                <w:rFonts w:ascii="Times New Roman" w:hAnsi="Times New Roman"/>
                <w:color w:val="000000"/>
                <w:spacing w:val="-2"/>
              </w:rPr>
            </w:pPr>
            <w:r>
              <w:rPr>
                <w:rFonts w:ascii="Times New Roman" w:hAnsi="Times New Roman"/>
                <w:color w:val="000000"/>
                <w:spacing w:val="-2"/>
              </w:rPr>
              <w:t xml:space="preserve">f) </w:t>
            </w:r>
            <w:r w:rsidRPr="00C01EC9">
              <w:rPr>
                <w:rFonts w:ascii="Times New Roman" w:hAnsi="Times New Roman"/>
                <w:color w:val="000000"/>
                <w:spacing w:val="-2"/>
              </w:rPr>
              <w:t xml:space="preserve">§ 34 rozporządzenia Ministra Spraw Wewnętrznych i Administracji z dnia 7 czerwca 2010 r. w sprawie ochrony przeciwpożarowej budynków, innych obiektów budowlanych i terenów (Dz. U. 2010 </w:t>
            </w:r>
            <w:r w:rsidR="000D42CA">
              <w:rPr>
                <w:rFonts w:ascii="Times New Roman" w:hAnsi="Times New Roman"/>
                <w:color w:val="000000"/>
                <w:spacing w:val="-2"/>
              </w:rPr>
              <w:t>r.</w:t>
            </w:r>
            <w:r w:rsidRPr="00C01EC9">
              <w:rPr>
                <w:rFonts w:ascii="Times New Roman" w:hAnsi="Times New Roman"/>
                <w:color w:val="000000"/>
                <w:spacing w:val="-2"/>
              </w:rPr>
              <w:t xml:space="preserve"> poz. 719)</w:t>
            </w:r>
            <w:r>
              <w:rPr>
                <w:rFonts w:ascii="Times New Roman" w:hAnsi="Times New Roman"/>
                <w:color w:val="000000"/>
                <w:spacing w:val="-2"/>
              </w:rPr>
              <w:t xml:space="preserve"> – przez osoby posiadające uprawnienia kominiarskie;</w:t>
            </w:r>
          </w:p>
          <w:p w:rsidR="004C1F3A" w:rsidRPr="004C1F3A" w:rsidRDefault="00C01EC9" w:rsidP="004C1F3A">
            <w:pPr>
              <w:spacing w:line="240" w:lineRule="auto"/>
              <w:jc w:val="both"/>
              <w:rPr>
                <w:rFonts w:ascii="Times New Roman" w:hAnsi="Times New Roman"/>
                <w:color w:val="000000"/>
                <w:spacing w:val="-2"/>
              </w:rPr>
            </w:pPr>
            <w:r>
              <w:rPr>
                <w:rFonts w:ascii="Times New Roman" w:hAnsi="Times New Roman"/>
                <w:color w:val="000000"/>
                <w:spacing w:val="-2"/>
              </w:rPr>
              <w:t xml:space="preserve">g) art. 284 ust. 1 </w:t>
            </w:r>
            <w:r w:rsidRPr="00C01EC9">
              <w:rPr>
                <w:rFonts w:ascii="Times New Roman" w:hAnsi="Times New Roman"/>
                <w:color w:val="000000"/>
                <w:spacing w:val="-2"/>
              </w:rPr>
              <w:t>ustawy z dnia 27 kwietnia 2001 r. – Prawo ochrony środowiska - przez upoważnionych pracowników</w:t>
            </w:r>
            <w:r>
              <w:rPr>
                <w:rFonts w:ascii="Times New Roman" w:hAnsi="Times New Roman"/>
                <w:color w:val="000000"/>
                <w:spacing w:val="-2"/>
              </w:rPr>
              <w:t xml:space="preserve"> urzędów marszałkowskich.</w:t>
            </w:r>
          </w:p>
          <w:p w:rsidR="004C1F3A" w:rsidRPr="004C1F3A" w:rsidRDefault="004C1F3A" w:rsidP="004C1F3A">
            <w:pPr>
              <w:spacing w:line="240" w:lineRule="auto"/>
              <w:jc w:val="both"/>
              <w:rPr>
                <w:rFonts w:ascii="Times New Roman" w:hAnsi="Times New Roman"/>
                <w:color w:val="000000"/>
                <w:spacing w:val="-2"/>
              </w:rPr>
            </w:pPr>
          </w:p>
          <w:p w:rsidR="004C1F3A" w:rsidRPr="004C1F3A" w:rsidRDefault="000B49DC" w:rsidP="004C1F3A">
            <w:pPr>
              <w:spacing w:line="240" w:lineRule="auto"/>
              <w:jc w:val="both"/>
              <w:rPr>
                <w:rFonts w:ascii="Times New Roman" w:hAnsi="Times New Roman"/>
                <w:color w:val="000000"/>
                <w:spacing w:val="-2"/>
              </w:rPr>
            </w:pPr>
            <w:r>
              <w:rPr>
                <w:rFonts w:ascii="Times New Roman" w:hAnsi="Times New Roman"/>
                <w:color w:val="000000"/>
                <w:spacing w:val="-2"/>
              </w:rPr>
              <w:t>V</w:t>
            </w:r>
            <w:r w:rsidR="004C1F3A" w:rsidRPr="004C1F3A">
              <w:rPr>
                <w:rFonts w:ascii="Times New Roman" w:hAnsi="Times New Roman"/>
                <w:color w:val="000000"/>
                <w:spacing w:val="-2"/>
              </w:rPr>
              <w:t>) inwentaryzacja budynków zostanie dokonana przez osoby wpisane do wykazu osób uprawnionych, w trakcie wykonywanych czynności np. przeglądu</w:t>
            </w:r>
            <w:r w:rsidR="003875A4">
              <w:rPr>
                <w:rFonts w:ascii="Times New Roman" w:hAnsi="Times New Roman"/>
                <w:color w:val="000000"/>
                <w:spacing w:val="-2"/>
              </w:rPr>
              <w:t xml:space="preserve"> okresowego przewodu kominowego</w:t>
            </w:r>
            <w:r w:rsidR="004C1F3A" w:rsidRPr="004C1F3A">
              <w:rPr>
                <w:rFonts w:ascii="Times New Roman" w:hAnsi="Times New Roman"/>
                <w:color w:val="000000"/>
                <w:spacing w:val="-2"/>
              </w:rPr>
              <w:t xml:space="preserve">. Dane zebrane w toku inwentaryzacji będą wprowadzane do </w:t>
            </w:r>
            <w:r w:rsidR="00C0242C">
              <w:rPr>
                <w:rFonts w:ascii="Times New Roman" w:hAnsi="Times New Roman"/>
                <w:color w:val="000000"/>
                <w:spacing w:val="-2"/>
              </w:rPr>
              <w:t>CEEB</w:t>
            </w:r>
            <w:r w:rsidR="004C1F3A" w:rsidRPr="004C1F3A">
              <w:rPr>
                <w:rFonts w:ascii="Times New Roman" w:hAnsi="Times New Roman"/>
                <w:color w:val="000000"/>
                <w:spacing w:val="-2"/>
              </w:rPr>
              <w:t xml:space="preserve"> za pomocą elektronicznego formularza inwentaryzacyjnego, który jest zapisywany automatycznie po jego wygenerowaniu w systemie teleinformatycznym obsługującym </w:t>
            </w:r>
            <w:r w:rsidR="00C0242C">
              <w:rPr>
                <w:rFonts w:ascii="Times New Roman" w:hAnsi="Times New Roman"/>
                <w:color w:val="000000"/>
                <w:spacing w:val="-2"/>
              </w:rPr>
              <w:t>CEEB</w:t>
            </w:r>
            <w:r w:rsidR="004C1F3A" w:rsidRPr="004C1F3A">
              <w:rPr>
                <w:rFonts w:ascii="Times New Roman" w:hAnsi="Times New Roman"/>
                <w:color w:val="000000"/>
                <w:spacing w:val="-2"/>
              </w:rPr>
              <w:t xml:space="preserve">. Uprawnionym osobom zapewnia się tym samym dostęp do </w:t>
            </w:r>
            <w:r w:rsidR="00C0242C">
              <w:rPr>
                <w:rFonts w:ascii="Times New Roman" w:hAnsi="Times New Roman"/>
                <w:color w:val="000000"/>
                <w:spacing w:val="-2"/>
              </w:rPr>
              <w:t>CEEB</w:t>
            </w:r>
            <w:r w:rsidR="004C1F3A" w:rsidRPr="004C1F3A">
              <w:rPr>
                <w:rFonts w:ascii="Times New Roman" w:hAnsi="Times New Roman"/>
                <w:color w:val="000000"/>
                <w:spacing w:val="-2"/>
              </w:rPr>
              <w:t>. Narzędzie informatyczne umożliwia wprowadzenie danych za pomocą aplikacji webowej lub mobilnej, zarówno w trybie online, jak i w trybie offline.</w:t>
            </w:r>
          </w:p>
          <w:p w:rsidR="000B49DC" w:rsidRDefault="000B49DC" w:rsidP="004C1F3A">
            <w:pPr>
              <w:spacing w:line="240" w:lineRule="auto"/>
              <w:jc w:val="both"/>
              <w:rPr>
                <w:rFonts w:ascii="Times New Roman" w:hAnsi="Times New Roman"/>
                <w:color w:val="000000"/>
                <w:spacing w:val="-2"/>
              </w:rPr>
            </w:pPr>
          </w:p>
          <w:p w:rsidR="000B49DC" w:rsidRDefault="000B49DC" w:rsidP="004C1F3A">
            <w:pPr>
              <w:spacing w:line="240" w:lineRule="auto"/>
              <w:jc w:val="both"/>
              <w:rPr>
                <w:rFonts w:ascii="Times New Roman" w:hAnsi="Times New Roman"/>
                <w:color w:val="000000"/>
                <w:spacing w:val="-2"/>
              </w:rPr>
            </w:pPr>
            <w:r>
              <w:rPr>
                <w:rFonts w:ascii="Times New Roman" w:hAnsi="Times New Roman"/>
                <w:color w:val="000000"/>
                <w:spacing w:val="-2"/>
              </w:rPr>
              <w:lastRenderedPageBreak/>
              <w:t xml:space="preserve">VI) </w:t>
            </w:r>
            <w:r w:rsidR="004C1F3A" w:rsidRPr="004C1F3A">
              <w:rPr>
                <w:rFonts w:ascii="Times New Roman" w:hAnsi="Times New Roman"/>
                <w:color w:val="000000"/>
                <w:spacing w:val="-2"/>
              </w:rPr>
              <w:t xml:space="preserve">Regulacja przewiduje integrację </w:t>
            </w:r>
            <w:r w:rsidR="00C0242C">
              <w:rPr>
                <w:rFonts w:ascii="Times New Roman" w:hAnsi="Times New Roman"/>
                <w:color w:val="000000"/>
                <w:spacing w:val="-2"/>
              </w:rPr>
              <w:t>CEEB</w:t>
            </w:r>
            <w:r w:rsidR="004C1F3A" w:rsidRPr="004C1F3A">
              <w:rPr>
                <w:rFonts w:ascii="Times New Roman" w:hAnsi="Times New Roman"/>
                <w:color w:val="000000"/>
                <w:spacing w:val="-2"/>
              </w:rPr>
              <w:t xml:space="preserve"> z innymi systemami IT, w których prowadzone są rejestry państwowe. </w:t>
            </w:r>
            <w:r>
              <w:rPr>
                <w:rFonts w:ascii="Times New Roman" w:hAnsi="Times New Roman"/>
                <w:color w:val="000000"/>
                <w:spacing w:val="-2"/>
              </w:rPr>
              <w:t>S</w:t>
            </w:r>
            <w:r w:rsidR="004C1F3A" w:rsidRPr="004C1F3A">
              <w:rPr>
                <w:rFonts w:ascii="Times New Roman" w:hAnsi="Times New Roman"/>
                <w:color w:val="000000"/>
                <w:spacing w:val="-2"/>
              </w:rPr>
              <w:t xml:space="preserve">ystem będzie dostosowany do wymiany danych ze wszystkich innych rejestrów, z którymi będzie się integrował. Do </w:t>
            </w:r>
            <w:r w:rsidR="00C0242C">
              <w:rPr>
                <w:rFonts w:ascii="Times New Roman" w:hAnsi="Times New Roman"/>
                <w:color w:val="000000"/>
                <w:spacing w:val="-2"/>
              </w:rPr>
              <w:t>CEEB</w:t>
            </w:r>
            <w:r w:rsidR="00ED5F2B">
              <w:rPr>
                <w:rFonts w:ascii="Times New Roman" w:hAnsi="Times New Roman"/>
                <w:color w:val="000000"/>
                <w:spacing w:val="-2"/>
              </w:rPr>
              <w:t xml:space="preserve"> </w:t>
            </w:r>
            <w:r w:rsidR="004C1F3A" w:rsidRPr="004C1F3A">
              <w:rPr>
                <w:rFonts w:ascii="Times New Roman" w:hAnsi="Times New Roman"/>
                <w:color w:val="000000"/>
                <w:spacing w:val="-2"/>
              </w:rPr>
              <w:t xml:space="preserve">będą bowiem przekazywane </w:t>
            </w:r>
            <w:r>
              <w:rPr>
                <w:rFonts w:ascii="Times New Roman" w:hAnsi="Times New Roman"/>
                <w:color w:val="000000"/>
                <w:spacing w:val="-2"/>
              </w:rPr>
              <w:t xml:space="preserve">automatycznie </w:t>
            </w:r>
            <w:r w:rsidR="004C1F3A" w:rsidRPr="004C1F3A">
              <w:rPr>
                <w:rFonts w:ascii="Times New Roman" w:hAnsi="Times New Roman"/>
                <w:color w:val="000000"/>
                <w:spacing w:val="-2"/>
              </w:rPr>
              <w:t>dane z bazy danych obiektów topograficznych o szczegółowości zapewniającej tworzenie standardowych opracowań kartograficznych w skali 1:10000 (BDOT10k), geodezyjnej ewidencji sieci uzbrojenia terenu (GESUT), państwowego rejestru granic i powierzchni jednostek podział</w:t>
            </w:r>
            <w:r>
              <w:rPr>
                <w:rFonts w:ascii="Times New Roman" w:hAnsi="Times New Roman"/>
                <w:color w:val="000000"/>
                <w:spacing w:val="-2"/>
              </w:rPr>
              <w:t>u</w:t>
            </w:r>
            <w:r w:rsidR="004C1F3A" w:rsidRPr="004C1F3A">
              <w:rPr>
                <w:rFonts w:ascii="Times New Roman" w:hAnsi="Times New Roman"/>
                <w:color w:val="000000"/>
                <w:spacing w:val="-2"/>
              </w:rPr>
              <w:t xml:space="preserve"> terytorialn</w:t>
            </w:r>
            <w:r>
              <w:rPr>
                <w:rFonts w:ascii="Times New Roman" w:hAnsi="Times New Roman"/>
                <w:color w:val="000000"/>
                <w:spacing w:val="-2"/>
              </w:rPr>
              <w:t>ych</w:t>
            </w:r>
            <w:r w:rsidR="004C1F3A" w:rsidRPr="004C1F3A">
              <w:rPr>
                <w:rFonts w:ascii="Times New Roman" w:hAnsi="Times New Roman"/>
                <w:color w:val="000000"/>
                <w:spacing w:val="-2"/>
              </w:rPr>
              <w:t xml:space="preserve"> kraju (PRG)</w:t>
            </w:r>
            <w:r w:rsidR="0036310C">
              <w:rPr>
                <w:rFonts w:ascii="Times New Roman" w:hAnsi="Times New Roman"/>
                <w:color w:val="000000"/>
                <w:spacing w:val="-2"/>
              </w:rPr>
              <w:t>,</w:t>
            </w:r>
            <w:r>
              <w:rPr>
                <w:rFonts w:ascii="Times New Roman" w:hAnsi="Times New Roman"/>
                <w:color w:val="000000"/>
                <w:spacing w:val="-2"/>
              </w:rPr>
              <w:t xml:space="preserve"> z</w:t>
            </w:r>
            <w:r w:rsidR="004C1F3A" w:rsidRPr="004C1F3A">
              <w:rPr>
                <w:rFonts w:ascii="Times New Roman" w:hAnsi="Times New Roman"/>
                <w:color w:val="000000"/>
                <w:spacing w:val="-2"/>
              </w:rPr>
              <w:t xml:space="preserve"> centralnego rejestru charakterystyki energetycznej budynków</w:t>
            </w:r>
            <w:r w:rsidR="0036310C">
              <w:rPr>
                <w:rFonts w:ascii="Times New Roman" w:hAnsi="Times New Roman"/>
                <w:color w:val="000000"/>
                <w:spacing w:val="-2"/>
              </w:rPr>
              <w:t xml:space="preserve">, jak i z </w:t>
            </w:r>
            <w:r w:rsidR="0036310C" w:rsidRPr="0036310C">
              <w:rPr>
                <w:rFonts w:ascii="Times New Roman" w:hAnsi="Times New Roman"/>
                <w:color w:val="000000"/>
                <w:spacing w:val="-2"/>
              </w:rPr>
              <w:t xml:space="preserve">centralnego rejestru osób posiadających uprawnienia budowlane oraz </w:t>
            </w:r>
            <w:r w:rsidR="0036310C">
              <w:rPr>
                <w:rFonts w:ascii="Times New Roman" w:hAnsi="Times New Roman"/>
                <w:color w:val="000000"/>
                <w:spacing w:val="-2"/>
              </w:rPr>
              <w:t>z</w:t>
            </w:r>
            <w:r w:rsidR="0036310C" w:rsidRPr="0036310C">
              <w:rPr>
                <w:rFonts w:ascii="Times New Roman" w:hAnsi="Times New Roman"/>
                <w:color w:val="000000"/>
                <w:spacing w:val="-2"/>
              </w:rPr>
              <w:t xml:space="preserve"> centralnego rejestru ukaranych z tytułu odpowiedzialności zawodowej.</w:t>
            </w:r>
            <w:r w:rsidR="0036310C" w:rsidRPr="0036310C">
              <w:rPr>
                <w:rFonts w:ascii="Times New Roman" w:hAnsi="Times New Roman"/>
                <w:color w:val="000000"/>
                <w:spacing w:val="-2"/>
              </w:rPr>
              <w:tab/>
            </w:r>
          </w:p>
          <w:p w:rsidR="004C1F3A" w:rsidRPr="004C1F3A" w:rsidRDefault="004C1F3A" w:rsidP="004C1F3A">
            <w:pPr>
              <w:spacing w:line="240" w:lineRule="auto"/>
              <w:jc w:val="both"/>
              <w:rPr>
                <w:rFonts w:ascii="Times New Roman" w:hAnsi="Times New Roman"/>
                <w:color w:val="000000"/>
                <w:spacing w:val="-2"/>
              </w:rPr>
            </w:pPr>
          </w:p>
          <w:p w:rsidR="002568C5" w:rsidRPr="002568C5" w:rsidRDefault="000B49DC" w:rsidP="002568C5">
            <w:pPr>
              <w:spacing w:line="240" w:lineRule="auto"/>
              <w:jc w:val="both"/>
              <w:rPr>
                <w:rFonts w:ascii="Times New Roman" w:hAnsi="Times New Roman"/>
                <w:color w:val="000000"/>
                <w:spacing w:val="-2"/>
              </w:rPr>
            </w:pPr>
            <w:r>
              <w:rPr>
                <w:rFonts w:ascii="Times New Roman" w:hAnsi="Times New Roman"/>
                <w:color w:val="000000"/>
                <w:spacing w:val="-2"/>
              </w:rPr>
              <w:t>VI</w:t>
            </w:r>
            <w:r w:rsidR="00481F21">
              <w:rPr>
                <w:rFonts w:ascii="Times New Roman" w:hAnsi="Times New Roman"/>
                <w:color w:val="000000"/>
                <w:spacing w:val="-2"/>
              </w:rPr>
              <w:t>I</w:t>
            </w:r>
            <w:r w:rsidR="004C1F3A" w:rsidRPr="004C1F3A">
              <w:rPr>
                <w:rFonts w:ascii="Times New Roman" w:hAnsi="Times New Roman"/>
                <w:color w:val="000000"/>
                <w:spacing w:val="-2"/>
              </w:rPr>
              <w:t xml:space="preserve">) </w:t>
            </w:r>
            <w:r>
              <w:rPr>
                <w:rFonts w:ascii="Times New Roman" w:hAnsi="Times New Roman"/>
                <w:color w:val="000000"/>
                <w:spacing w:val="-2"/>
              </w:rPr>
              <w:t xml:space="preserve">regulacje dotyczące </w:t>
            </w:r>
            <w:r w:rsidR="004C1F3A" w:rsidRPr="004C1F3A">
              <w:rPr>
                <w:rFonts w:ascii="Times New Roman" w:hAnsi="Times New Roman"/>
                <w:color w:val="000000"/>
                <w:spacing w:val="-2"/>
              </w:rPr>
              <w:t>udostępni</w:t>
            </w:r>
            <w:r>
              <w:rPr>
                <w:rFonts w:ascii="Times New Roman" w:hAnsi="Times New Roman"/>
                <w:color w:val="000000"/>
                <w:spacing w:val="-2"/>
              </w:rPr>
              <w:t>a</w:t>
            </w:r>
            <w:r w:rsidR="004C1F3A" w:rsidRPr="004C1F3A">
              <w:rPr>
                <w:rFonts w:ascii="Times New Roman" w:hAnsi="Times New Roman"/>
                <w:color w:val="000000"/>
                <w:spacing w:val="-2"/>
              </w:rPr>
              <w:t>ni</w:t>
            </w:r>
            <w:r>
              <w:rPr>
                <w:rFonts w:ascii="Times New Roman" w:hAnsi="Times New Roman"/>
                <w:color w:val="000000"/>
                <w:spacing w:val="-2"/>
              </w:rPr>
              <w:t>a</w:t>
            </w:r>
            <w:r w:rsidR="004C1F3A" w:rsidRPr="004C1F3A">
              <w:rPr>
                <w:rFonts w:ascii="Times New Roman" w:hAnsi="Times New Roman"/>
                <w:color w:val="000000"/>
                <w:spacing w:val="-2"/>
              </w:rPr>
              <w:t xml:space="preserve"> danych z </w:t>
            </w:r>
            <w:r w:rsidR="00C0242C">
              <w:rPr>
                <w:rFonts w:ascii="Times New Roman" w:hAnsi="Times New Roman"/>
                <w:color w:val="000000"/>
                <w:spacing w:val="-2"/>
              </w:rPr>
              <w:t>CEEB</w:t>
            </w:r>
            <w:r w:rsidR="004C1F3A" w:rsidRPr="004C1F3A">
              <w:rPr>
                <w:rFonts w:ascii="Times New Roman" w:hAnsi="Times New Roman"/>
                <w:color w:val="000000"/>
                <w:spacing w:val="-2"/>
              </w:rPr>
              <w:t xml:space="preserve"> </w:t>
            </w:r>
            <w:r w:rsidR="002568C5">
              <w:rPr>
                <w:rFonts w:ascii="Times New Roman" w:hAnsi="Times New Roman"/>
                <w:color w:val="000000"/>
                <w:spacing w:val="-2"/>
              </w:rPr>
              <w:t xml:space="preserve">– w zakresie realizowanych </w:t>
            </w:r>
            <w:r w:rsidR="0036310C">
              <w:rPr>
                <w:rFonts w:ascii="Times New Roman" w:hAnsi="Times New Roman"/>
                <w:color w:val="000000"/>
                <w:spacing w:val="-2"/>
              </w:rPr>
              <w:t xml:space="preserve">ustawowych </w:t>
            </w:r>
            <w:r w:rsidR="002568C5">
              <w:rPr>
                <w:rFonts w:ascii="Times New Roman" w:hAnsi="Times New Roman"/>
                <w:color w:val="000000"/>
                <w:spacing w:val="-2"/>
              </w:rPr>
              <w:t xml:space="preserve">zadań, </w:t>
            </w:r>
            <w:r w:rsidR="004C1F3A" w:rsidRPr="004C1F3A">
              <w:rPr>
                <w:rFonts w:ascii="Times New Roman" w:hAnsi="Times New Roman"/>
                <w:color w:val="000000"/>
                <w:spacing w:val="-2"/>
              </w:rPr>
              <w:t>następującym podmiotom: organom Inspekcji Ochrony Środowiska</w:t>
            </w:r>
            <w:r w:rsidR="002568C5">
              <w:rPr>
                <w:rFonts w:ascii="Times New Roman" w:hAnsi="Times New Roman"/>
                <w:color w:val="000000"/>
                <w:spacing w:val="-2"/>
              </w:rPr>
              <w:t>,</w:t>
            </w:r>
            <w:r w:rsidR="004C1F3A" w:rsidRPr="004C1F3A">
              <w:rPr>
                <w:rFonts w:ascii="Times New Roman" w:hAnsi="Times New Roman"/>
                <w:color w:val="000000"/>
                <w:spacing w:val="-2"/>
              </w:rPr>
              <w:t xml:space="preserve"> organom nadzoru budowlanego</w:t>
            </w:r>
            <w:r w:rsidR="002568C5">
              <w:rPr>
                <w:rFonts w:ascii="Times New Roman" w:hAnsi="Times New Roman"/>
                <w:color w:val="000000"/>
                <w:spacing w:val="-2"/>
              </w:rPr>
              <w:t>,</w:t>
            </w:r>
            <w:r w:rsidR="004C1F3A" w:rsidRPr="004C1F3A">
              <w:rPr>
                <w:rFonts w:ascii="Times New Roman" w:hAnsi="Times New Roman"/>
                <w:color w:val="000000"/>
                <w:spacing w:val="-2"/>
              </w:rPr>
              <w:t xml:space="preserve"> </w:t>
            </w:r>
            <w:r w:rsidR="000D42CA">
              <w:rPr>
                <w:rFonts w:ascii="Times New Roman" w:hAnsi="Times New Roman"/>
                <w:color w:val="000000"/>
                <w:spacing w:val="-2"/>
              </w:rPr>
              <w:t>NFOŚiGW</w:t>
            </w:r>
            <w:r w:rsidR="002568C5">
              <w:rPr>
                <w:rFonts w:ascii="Times New Roman" w:hAnsi="Times New Roman"/>
                <w:color w:val="000000"/>
                <w:spacing w:val="-2"/>
              </w:rPr>
              <w:t>,</w:t>
            </w:r>
            <w:r w:rsidR="004C1F3A" w:rsidRPr="004C1F3A">
              <w:rPr>
                <w:rFonts w:ascii="Times New Roman" w:hAnsi="Times New Roman"/>
                <w:color w:val="000000"/>
                <w:spacing w:val="-2"/>
              </w:rPr>
              <w:t xml:space="preserve"> </w:t>
            </w:r>
            <w:r w:rsidR="000D42CA">
              <w:rPr>
                <w:rFonts w:ascii="Times New Roman" w:hAnsi="Times New Roman"/>
                <w:color w:val="000000"/>
                <w:spacing w:val="-2"/>
              </w:rPr>
              <w:t>WFOŚiGW</w:t>
            </w:r>
            <w:r w:rsidR="002568C5">
              <w:rPr>
                <w:rFonts w:ascii="Times New Roman" w:hAnsi="Times New Roman"/>
                <w:color w:val="000000"/>
                <w:spacing w:val="-2"/>
              </w:rPr>
              <w:t>,</w:t>
            </w:r>
            <w:r w:rsidR="004C1F3A" w:rsidRPr="004C1F3A">
              <w:rPr>
                <w:rFonts w:ascii="Times New Roman" w:hAnsi="Times New Roman"/>
                <w:color w:val="000000"/>
                <w:spacing w:val="-2"/>
              </w:rPr>
              <w:t xml:space="preserve"> Prezesowi Głównego Urzędu Statystycznego</w:t>
            </w:r>
            <w:r w:rsidR="002568C5">
              <w:rPr>
                <w:rFonts w:ascii="Times New Roman" w:hAnsi="Times New Roman"/>
                <w:color w:val="000000"/>
                <w:spacing w:val="-2"/>
              </w:rPr>
              <w:t>,</w:t>
            </w:r>
            <w:r w:rsidR="004C1F3A" w:rsidRPr="004C1F3A">
              <w:rPr>
                <w:rFonts w:ascii="Times New Roman" w:hAnsi="Times New Roman"/>
                <w:color w:val="000000"/>
                <w:spacing w:val="-2"/>
              </w:rPr>
              <w:t xml:space="preserve"> instytutom badawczym</w:t>
            </w:r>
            <w:r w:rsidR="002568C5">
              <w:rPr>
                <w:rFonts w:ascii="Times New Roman" w:hAnsi="Times New Roman"/>
                <w:color w:val="000000"/>
                <w:spacing w:val="-2"/>
              </w:rPr>
              <w:t>, uczelniom wyższym,</w:t>
            </w:r>
            <w:r w:rsidR="004C1F3A" w:rsidRPr="004C1F3A">
              <w:rPr>
                <w:rFonts w:ascii="Times New Roman" w:hAnsi="Times New Roman"/>
                <w:color w:val="000000"/>
                <w:spacing w:val="-2"/>
              </w:rPr>
              <w:t xml:space="preserve"> </w:t>
            </w:r>
            <w:r w:rsidR="002568C5">
              <w:rPr>
                <w:rFonts w:ascii="Times New Roman" w:hAnsi="Times New Roman"/>
                <w:color w:val="000000"/>
                <w:spacing w:val="-2"/>
              </w:rPr>
              <w:t xml:space="preserve">ministrowi właściwemu do spraw środowiska, </w:t>
            </w:r>
            <w:r w:rsidR="004C1F3A" w:rsidRPr="004C1F3A">
              <w:rPr>
                <w:rFonts w:ascii="Times New Roman" w:hAnsi="Times New Roman"/>
                <w:color w:val="000000"/>
                <w:spacing w:val="-2"/>
              </w:rPr>
              <w:t>ministrowi właściwemu do spraw energii</w:t>
            </w:r>
            <w:r w:rsidR="002568C5">
              <w:rPr>
                <w:rFonts w:ascii="Times New Roman" w:hAnsi="Times New Roman"/>
                <w:color w:val="000000"/>
                <w:spacing w:val="-2"/>
              </w:rPr>
              <w:t>,</w:t>
            </w:r>
            <w:r w:rsidR="004C1F3A" w:rsidRPr="004C1F3A">
              <w:rPr>
                <w:rFonts w:ascii="Times New Roman" w:hAnsi="Times New Roman"/>
                <w:color w:val="000000"/>
                <w:spacing w:val="-2"/>
              </w:rPr>
              <w:t xml:space="preserve"> ministrowi właściwemu do spraw finansów publicznych</w:t>
            </w:r>
            <w:r w:rsidR="002568C5">
              <w:rPr>
                <w:rFonts w:ascii="Times New Roman" w:hAnsi="Times New Roman"/>
                <w:color w:val="000000"/>
                <w:spacing w:val="-2"/>
              </w:rPr>
              <w:t>,</w:t>
            </w:r>
            <w:r w:rsidR="004C1F3A" w:rsidRPr="004C1F3A">
              <w:rPr>
                <w:rFonts w:ascii="Times New Roman" w:hAnsi="Times New Roman"/>
                <w:color w:val="000000"/>
                <w:spacing w:val="-2"/>
              </w:rPr>
              <w:t xml:space="preserve"> organom Krajowej Administracji Skarbowej</w:t>
            </w:r>
            <w:r w:rsidR="002568C5">
              <w:rPr>
                <w:rFonts w:ascii="Times New Roman" w:hAnsi="Times New Roman"/>
                <w:color w:val="000000"/>
                <w:spacing w:val="-2"/>
              </w:rPr>
              <w:t>,</w:t>
            </w:r>
            <w:r w:rsidR="004C1F3A" w:rsidRPr="004C1F3A">
              <w:rPr>
                <w:rFonts w:ascii="Times New Roman" w:hAnsi="Times New Roman"/>
                <w:color w:val="000000"/>
                <w:spacing w:val="-2"/>
              </w:rPr>
              <w:t xml:space="preserve"> ministrowi właściwemu do spraw wewnętrznych</w:t>
            </w:r>
            <w:r w:rsidR="000D42CA">
              <w:rPr>
                <w:rFonts w:ascii="Times New Roman" w:hAnsi="Times New Roman"/>
                <w:color w:val="000000"/>
                <w:spacing w:val="-2"/>
              </w:rPr>
              <w:t>,</w:t>
            </w:r>
            <w:r w:rsidR="004C1F3A" w:rsidRPr="004C1F3A">
              <w:rPr>
                <w:rFonts w:ascii="Times New Roman" w:hAnsi="Times New Roman"/>
                <w:color w:val="000000"/>
                <w:spacing w:val="-2"/>
              </w:rPr>
              <w:t xml:space="preserve"> ministrowi właściwemu do spraw budownictwa, planowania i zagospodarowania przestrzennego oraz mieszkalnictwa</w:t>
            </w:r>
            <w:r w:rsidR="002568C5">
              <w:rPr>
                <w:rFonts w:ascii="Times New Roman" w:hAnsi="Times New Roman"/>
                <w:color w:val="000000"/>
                <w:spacing w:val="-2"/>
              </w:rPr>
              <w:t>,</w:t>
            </w:r>
            <w:r w:rsidR="004C1F3A" w:rsidRPr="004C1F3A">
              <w:rPr>
                <w:rFonts w:ascii="Times New Roman" w:hAnsi="Times New Roman"/>
                <w:color w:val="000000"/>
                <w:spacing w:val="-2"/>
              </w:rPr>
              <w:t xml:space="preserve"> gminnym i miejskim ośrodkom pomocy społecznej</w:t>
            </w:r>
            <w:r w:rsidR="002568C5">
              <w:rPr>
                <w:rFonts w:ascii="Times New Roman" w:hAnsi="Times New Roman"/>
                <w:color w:val="000000"/>
                <w:spacing w:val="-2"/>
              </w:rPr>
              <w:t>,</w:t>
            </w:r>
            <w:r w:rsidR="002568C5">
              <w:t xml:space="preserve"> </w:t>
            </w:r>
            <w:r w:rsidR="002568C5">
              <w:rPr>
                <w:rFonts w:ascii="Times New Roman" w:hAnsi="Times New Roman"/>
                <w:color w:val="000000"/>
                <w:spacing w:val="-2"/>
              </w:rPr>
              <w:t xml:space="preserve">Bankowi Gospodarstwa Krajowego, </w:t>
            </w:r>
            <w:r w:rsidR="002568C5" w:rsidRPr="002568C5">
              <w:rPr>
                <w:rFonts w:ascii="Times New Roman" w:hAnsi="Times New Roman"/>
                <w:color w:val="000000"/>
                <w:spacing w:val="-2"/>
              </w:rPr>
              <w:t>wójtom, burm</w:t>
            </w:r>
            <w:r w:rsidR="002568C5">
              <w:rPr>
                <w:rFonts w:ascii="Times New Roman" w:hAnsi="Times New Roman"/>
                <w:color w:val="000000"/>
                <w:spacing w:val="-2"/>
              </w:rPr>
              <w:t xml:space="preserve">istrzom lub prezydentom miasta, starostom, sejmikom województwa, marszałkom województwa, wojewodom, </w:t>
            </w:r>
            <w:r w:rsidR="002568C5" w:rsidRPr="002568C5">
              <w:rPr>
                <w:rFonts w:ascii="Times New Roman" w:hAnsi="Times New Roman"/>
                <w:color w:val="000000"/>
                <w:spacing w:val="-2"/>
              </w:rPr>
              <w:t xml:space="preserve">Generalnemu </w:t>
            </w:r>
            <w:r w:rsidR="002568C5">
              <w:rPr>
                <w:rFonts w:ascii="Times New Roman" w:hAnsi="Times New Roman"/>
                <w:color w:val="000000"/>
                <w:spacing w:val="-2"/>
              </w:rPr>
              <w:t xml:space="preserve">Dyrektorowi Ochrony Środowiska, </w:t>
            </w:r>
            <w:r w:rsidR="002568C5" w:rsidRPr="002568C5">
              <w:rPr>
                <w:rFonts w:ascii="Times New Roman" w:hAnsi="Times New Roman"/>
                <w:color w:val="000000"/>
                <w:spacing w:val="-2"/>
              </w:rPr>
              <w:t>regionalnym</w:t>
            </w:r>
            <w:r w:rsidR="002568C5">
              <w:rPr>
                <w:rFonts w:ascii="Times New Roman" w:hAnsi="Times New Roman"/>
                <w:color w:val="000000"/>
                <w:spacing w:val="-2"/>
              </w:rPr>
              <w:t xml:space="preserve"> dyrektorom ochrony środowiska, </w:t>
            </w:r>
            <w:r w:rsidR="0036310C">
              <w:rPr>
                <w:rFonts w:ascii="Times New Roman" w:hAnsi="Times New Roman"/>
                <w:color w:val="000000"/>
                <w:spacing w:val="-2"/>
              </w:rPr>
              <w:t xml:space="preserve">Urzędowi Regulacji Energetyki, </w:t>
            </w:r>
            <w:r w:rsidR="002568C5" w:rsidRPr="002568C5">
              <w:rPr>
                <w:rFonts w:ascii="Times New Roman" w:hAnsi="Times New Roman"/>
                <w:color w:val="000000"/>
                <w:spacing w:val="-2"/>
              </w:rPr>
              <w:t>organom lub innym podmiotom udzielającym ze środków publicznych finansowania albo dofinansowania:</w:t>
            </w:r>
          </w:p>
          <w:p w:rsidR="002568C5" w:rsidRPr="002568C5" w:rsidRDefault="002568C5" w:rsidP="002568C5">
            <w:pPr>
              <w:spacing w:line="240" w:lineRule="auto"/>
              <w:jc w:val="both"/>
              <w:rPr>
                <w:rFonts w:ascii="Times New Roman" w:hAnsi="Times New Roman"/>
                <w:color w:val="000000"/>
                <w:spacing w:val="-2"/>
              </w:rPr>
            </w:pPr>
            <w:r w:rsidRPr="002568C5">
              <w:rPr>
                <w:rFonts w:ascii="Times New Roman" w:hAnsi="Times New Roman"/>
                <w:color w:val="000000"/>
                <w:spacing w:val="-2"/>
              </w:rPr>
              <w:t>a) przedsięwzięć termomodernizacyjnych, przedsięwzięć niskoemisyjnych lub przedsięwzięć remontowych,</w:t>
            </w:r>
          </w:p>
          <w:p w:rsidR="002568C5" w:rsidRPr="002568C5" w:rsidRDefault="002568C5" w:rsidP="002568C5">
            <w:pPr>
              <w:spacing w:line="240" w:lineRule="auto"/>
              <w:jc w:val="both"/>
              <w:rPr>
                <w:rFonts w:ascii="Times New Roman" w:hAnsi="Times New Roman"/>
                <w:color w:val="000000"/>
                <w:spacing w:val="-2"/>
              </w:rPr>
            </w:pPr>
            <w:r w:rsidRPr="002568C5">
              <w:rPr>
                <w:rFonts w:ascii="Times New Roman" w:hAnsi="Times New Roman"/>
                <w:color w:val="000000"/>
                <w:spacing w:val="-2"/>
              </w:rPr>
              <w:t>b) odnawialnych źródeł energii, o których w art. 2 pkt 22 ustawy z dnia 20 lutego 2015 r. o odnawialnych źródłach energii,</w:t>
            </w:r>
          </w:p>
          <w:p w:rsidR="002568C5" w:rsidRDefault="002568C5" w:rsidP="004C1F3A">
            <w:pPr>
              <w:spacing w:line="240" w:lineRule="auto"/>
              <w:jc w:val="both"/>
              <w:rPr>
                <w:rFonts w:ascii="Times New Roman" w:hAnsi="Times New Roman"/>
                <w:color w:val="000000"/>
                <w:spacing w:val="-2"/>
              </w:rPr>
            </w:pPr>
            <w:r w:rsidRPr="002568C5">
              <w:rPr>
                <w:rFonts w:ascii="Times New Roman" w:hAnsi="Times New Roman"/>
                <w:color w:val="000000"/>
                <w:spacing w:val="-2"/>
              </w:rPr>
              <w:t xml:space="preserve">c) innych przedsięwzięć </w:t>
            </w:r>
            <w:r>
              <w:rPr>
                <w:rFonts w:ascii="Times New Roman" w:hAnsi="Times New Roman"/>
                <w:color w:val="000000"/>
                <w:spacing w:val="-2"/>
              </w:rPr>
              <w:t xml:space="preserve">związanych z ochroną powietrza. </w:t>
            </w:r>
          </w:p>
          <w:p w:rsidR="002568C5" w:rsidRDefault="002568C5" w:rsidP="004C1F3A">
            <w:pPr>
              <w:spacing w:line="240" w:lineRule="auto"/>
              <w:jc w:val="both"/>
              <w:rPr>
                <w:rFonts w:ascii="Times New Roman" w:hAnsi="Times New Roman"/>
                <w:color w:val="000000"/>
                <w:spacing w:val="-2"/>
              </w:rPr>
            </w:pPr>
            <w:r>
              <w:rPr>
                <w:rFonts w:ascii="Times New Roman" w:hAnsi="Times New Roman"/>
                <w:color w:val="000000"/>
                <w:spacing w:val="-2"/>
              </w:rPr>
              <w:t xml:space="preserve">Udostępnienie danych powyżej wskazanym podmiotom następuje w głównej mierze </w:t>
            </w:r>
            <w:r w:rsidR="004C1F3A" w:rsidRPr="004C1F3A">
              <w:rPr>
                <w:rFonts w:ascii="Times New Roman" w:hAnsi="Times New Roman"/>
                <w:color w:val="000000"/>
                <w:spacing w:val="-2"/>
              </w:rPr>
              <w:t xml:space="preserve">w celu </w:t>
            </w:r>
            <w:r>
              <w:rPr>
                <w:rFonts w:ascii="Times New Roman" w:hAnsi="Times New Roman"/>
                <w:color w:val="000000"/>
                <w:spacing w:val="-2"/>
              </w:rPr>
              <w:t>oparcia się na</w:t>
            </w:r>
            <w:r w:rsidRPr="004C1F3A">
              <w:rPr>
                <w:rFonts w:ascii="Times New Roman" w:hAnsi="Times New Roman"/>
                <w:color w:val="000000"/>
                <w:spacing w:val="-2"/>
              </w:rPr>
              <w:t xml:space="preserve"> </w:t>
            </w:r>
            <w:r w:rsidR="004C1F3A" w:rsidRPr="004C1F3A">
              <w:rPr>
                <w:rFonts w:ascii="Times New Roman" w:hAnsi="Times New Roman"/>
                <w:color w:val="000000"/>
                <w:spacing w:val="-2"/>
              </w:rPr>
              <w:t>wiarygodnych danych na potrzeby opracowywanych programów ochrony powietrza, w tym na potrzeby tworzenia scenariuszy redukcji emisji z sektora komunalno-bytowego w tych programach</w:t>
            </w:r>
            <w:r>
              <w:rPr>
                <w:rFonts w:ascii="Times New Roman" w:hAnsi="Times New Roman"/>
                <w:color w:val="000000"/>
                <w:spacing w:val="-2"/>
              </w:rPr>
              <w:t>. D</w:t>
            </w:r>
            <w:r w:rsidR="004C1F3A" w:rsidRPr="004C1F3A">
              <w:rPr>
                <w:rFonts w:ascii="Times New Roman" w:hAnsi="Times New Roman"/>
                <w:color w:val="000000"/>
                <w:spacing w:val="-2"/>
              </w:rPr>
              <w:t xml:space="preserve">oprowadzi </w:t>
            </w:r>
            <w:r>
              <w:rPr>
                <w:rFonts w:ascii="Times New Roman" w:hAnsi="Times New Roman"/>
                <w:color w:val="000000"/>
                <w:spacing w:val="-2"/>
              </w:rPr>
              <w:t xml:space="preserve">to </w:t>
            </w:r>
            <w:r w:rsidR="004C1F3A" w:rsidRPr="004C1F3A">
              <w:rPr>
                <w:rFonts w:ascii="Times New Roman" w:hAnsi="Times New Roman"/>
                <w:color w:val="000000"/>
                <w:spacing w:val="-2"/>
              </w:rPr>
              <w:t>do optymalizacji działań</w:t>
            </w:r>
            <w:r>
              <w:rPr>
                <w:rFonts w:ascii="Times New Roman" w:hAnsi="Times New Roman"/>
                <w:color w:val="000000"/>
                <w:spacing w:val="-2"/>
              </w:rPr>
              <w:t xml:space="preserve"> </w:t>
            </w:r>
            <w:r w:rsidR="004C1F3A" w:rsidRPr="004C1F3A">
              <w:rPr>
                <w:rFonts w:ascii="Times New Roman" w:hAnsi="Times New Roman"/>
                <w:color w:val="000000"/>
                <w:spacing w:val="-2"/>
              </w:rPr>
              <w:t>podejmowanych przez samorząd terytorialny oraz administrację rządową</w:t>
            </w:r>
            <w:r>
              <w:rPr>
                <w:rFonts w:ascii="Times New Roman" w:hAnsi="Times New Roman"/>
                <w:color w:val="000000"/>
                <w:spacing w:val="-2"/>
              </w:rPr>
              <w:t>.</w:t>
            </w:r>
            <w:r w:rsidR="004C1F3A" w:rsidRPr="004C1F3A">
              <w:rPr>
                <w:rFonts w:ascii="Times New Roman" w:hAnsi="Times New Roman"/>
                <w:color w:val="000000"/>
                <w:spacing w:val="-2"/>
              </w:rPr>
              <w:t xml:space="preserve"> </w:t>
            </w:r>
            <w:r>
              <w:rPr>
                <w:rFonts w:ascii="Times New Roman" w:hAnsi="Times New Roman"/>
                <w:color w:val="000000"/>
                <w:spacing w:val="-2"/>
              </w:rPr>
              <w:t xml:space="preserve">Dane udostępnia się m.in. </w:t>
            </w:r>
            <w:r w:rsidR="004C1F3A" w:rsidRPr="004C1F3A">
              <w:rPr>
                <w:rFonts w:ascii="Times New Roman" w:hAnsi="Times New Roman"/>
                <w:color w:val="000000"/>
                <w:spacing w:val="-2"/>
              </w:rPr>
              <w:t xml:space="preserve">w celu obliczenia wskaźników monitorowania skuteczności podejmowanych działań naprawczych na szczeblu krajowym, regionalnym i lokalnym, z uwzględnieniem szacowania kosztów inwestycyjnych oraz zewnętrznych (zdrowotnych) czy też wreszcie do kreowania polityk publicznych, strategii rozwoju Państwa oraz monitorowania realizacji projektów związanych z ochroną powietrza i termomodernizacją budynków. Dane udostępnia się w systemie teleinformatycznym obsługującym </w:t>
            </w:r>
            <w:r w:rsidR="00C0242C">
              <w:rPr>
                <w:rFonts w:ascii="Times New Roman" w:hAnsi="Times New Roman"/>
                <w:color w:val="000000"/>
                <w:spacing w:val="-2"/>
              </w:rPr>
              <w:t>CEEB</w:t>
            </w:r>
            <w:r w:rsidR="004C1F3A" w:rsidRPr="004C1F3A">
              <w:rPr>
                <w:rFonts w:ascii="Times New Roman" w:hAnsi="Times New Roman"/>
                <w:color w:val="000000"/>
                <w:spacing w:val="-2"/>
              </w:rPr>
              <w:t xml:space="preserve"> w postaci elektronicznej za pomocą środków komunikacji elektronicznej na zasadach określonych w ustawie z dnia 17 lutego 2005 r. o informatyzacji działalności podmiotów realizujących zadania publiczne</w:t>
            </w:r>
            <w:r>
              <w:rPr>
                <w:rFonts w:ascii="Times New Roman" w:hAnsi="Times New Roman"/>
                <w:color w:val="000000"/>
                <w:spacing w:val="-2"/>
              </w:rPr>
              <w:t>.</w:t>
            </w:r>
          </w:p>
          <w:p w:rsidR="0036310C" w:rsidRPr="0036310C" w:rsidRDefault="0036310C" w:rsidP="0036310C">
            <w:pPr>
              <w:spacing w:line="240" w:lineRule="auto"/>
              <w:jc w:val="both"/>
              <w:rPr>
                <w:rFonts w:ascii="Times New Roman" w:hAnsi="Times New Roman"/>
                <w:color w:val="000000"/>
                <w:spacing w:val="-2"/>
              </w:rPr>
            </w:pPr>
            <w:r w:rsidRPr="0036310C">
              <w:rPr>
                <w:rFonts w:ascii="Times New Roman" w:hAnsi="Times New Roman"/>
                <w:color w:val="000000"/>
                <w:spacing w:val="-2"/>
              </w:rPr>
              <w:t xml:space="preserve">Stosownie </w:t>
            </w:r>
            <w:r>
              <w:rPr>
                <w:rFonts w:ascii="Times New Roman" w:hAnsi="Times New Roman"/>
                <w:color w:val="000000"/>
                <w:spacing w:val="-2"/>
              </w:rPr>
              <w:t xml:space="preserve">do projektowanych przepisów </w:t>
            </w:r>
            <w:r w:rsidRPr="0036310C">
              <w:rPr>
                <w:rFonts w:ascii="Times New Roman" w:hAnsi="Times New Roman"/>
                <w:color w:val="000000"/>
                <w:spacing w:val="-2"/>
              </w:rPr>
              <w:t>minister właściwy do spraw budownictwa, planowania i zagospodarowania przestrzennego oraz mieszkalnictwa może wyrazić zgodę, w drodze decyzji, na udostępnienie danych zgromadzonych w ewidencji ww. podmiotom albo ich jednostkom organizacyjnym, za pomocą urządzeń teletransmisji danych, bez konieczności składania elektronicznego wniosku, jeżeli spełniają łącznie następujące warunki:</w:t>
            </w:r>
          </w:p>
          <w:p w:rsidR="0036310C" w:rsidRPr="0036310C" w:rsidRDefault="0036310C" w:rsidP="0036310C">
            <w:pPr>
              <w:spacing w:line="240" w:lineRule="auto"/>
              <w:jc w:val="both"/>
              <w:rPr>
                <w:rFonts w:ascii="Times New Roman" w:hAnsi="Times New Roman"/>
                <w:color w:val="000000"/>
                <w:spacing w:val="-2"/>
              </w:rPr>
            </w:pPr>
            <w:r w:rsidRPr="0036310C">
              <w:rPr>
                <w:rFonts w:ascii="Times New Roman" w:hAnsi="Times New Roman"/>
                <w:color w:val="000000"/>
                <w:spacing w:val="-2"/>
              </w:rPr>
              <w:t>1) posiadają urządzenia umożliwiające odnotowanie w systemie, kto, kiedy, w jakim celu oraz jakie dane uzyskał;</w:t>
            </w:r>
          </w:p>
          <w:p w:rsidR="0036310C" w:rsidRPr="0036310C" w:rsidRDefault="0036310C" w:rsidP="0036310C">
            <w:pPr>
              <w:spacing w:line="240" w:lineRule="auto"/>
              <w:jc w:val="both"/>
              <w:rPr>
                <w:rFonts w:ascii="Times New Roman" w:hAnsi="Times New Roman"/>
                <w:color w:val="000000"/>
                <w:spacing w:val="-2"/>
              </w:rPr>
            </w:pPr>
            <w:r w:rsidRPr="0036310C">
              <w:rPr>
                <w:rFonts w:ascii="Times New Roman" w:hAnsi="Times New Roman"/>
                <w:color w:val="000000"/>
                <w:spacing w:val="-2"/>
              </w:rPr>
              <w:t>2) posiadają zabezpieczenia techniczne i organizacyjne uniemożliwiające wykorzystanie danych niezgodnie z celem ich uzyskania;</w:t>
            </w:r>
          </w:p>
          <w:p w:rsidR="0036310C" w:rsidRDefault="0036310C" w:rsidP="0036310C">
            <w:pPr>
              <w:spacing w:line="240" w:lineRule="auto"/>
              <w:jc w:val="both"/>
              <w:rPr>
                <w:rFonts w:ascii="Times New Roman" w:hAnsi="Times New Roman"/>
                <w:color w:val="000000"/>
                <w:spacing w:val="-2"/>
              </w:rPr>
            </w:pPr>
            <w:r w:rsidRPr="0036310C">
              <w:rPr>
                <w:rFonts w:ascii="Times New Roman" w:hAnsi="Times New Roman"/>
                <w:color w:val="000000"/>
                <w:spacing w:val="-2"/>
              </w:rPr>
              <w:t>3) jest to uzasadnione specyfiką lub zakresem wykonywanych zadań albo prowadzonej działalności.</w:t>
            </w:r>
          </w:p>
          <w:p w:rsidR="004C1F3A" w:rsidRPr="004C1F3A" w:rsidRDefault="004C1F3A" w:rsidP="004C1F3A">
            <w:pPr>
              <w:spacing w:line="240" w:lineRule="auto"/>
              <w:jc w:val="both"/>
              <w:rPr>
                <w:rFonts w:ascii="Times New Roman" w:hAnsi="Times New Roman"/>
                <w:color w:val="000000"/>
                <w:spacing w:val="-2"/>
              </w:rPr>
            </w:pPr>
            <w:r w:rsidRPr="004C1F3A">
              <w:rPr>
                <w:rFonts w:ascii="Times New Roman" w:hAnsi="Times New Roman"/>
                <w:color w:val="000000"/>
                <w:spacing w:val="-2"/>
              </w:rPr>
              <w:t xml:space="preserve">Przewiduje się również udostępnienie danych zgromadzonych w </w:t>
            </w:r>
            <w:r w:rsidR="00C0242C">
              <w:rPr>
                <w:rFonts w:ascii="Times New Roman" w:hAnsi="Times New Roman"/>
                <w:color w:val="000000"/>
                <w:spacing w:val="-2"/>
              </w:rPr>
              <w:t>CEEB</w:t>
            </w:r>
            <w:r w:rsidRPr="004C1F3A">
              <w:rPr>
                <w:rFonts w:ascii="Times New Roman" w:hAnsi="Times New Roman"/>
                <w:color w:val="000000"/>
                <w:spacing w:val="-2"/>
              </w:rPr>
              <w:t xml:space="preserve"> w postaci elektronicznej przy użyciu systemu teleinformatycznego </w:t>
            </w:r>
            <w:r w:rsidR="0036310C">
              <w:rPr>
                <w:rFonts w:ascii="Times New Roman" w:hAnsi="Times New Roman"/>
                <w:color w:val="000000"/>
                <w:spacing w:val="-2"/>
              </w:rPr>
              <w:t>– właścicielom budynków lub lokali</w:t>
            </w:r>
            <w:r w:rsidRPr="004C1F3A">
              <w:rPr>
                <w:rFonts w:ascii="Times New Roman" w:hAnsi="Times New Roman"/>
                <w:color w:val="000000"/>
                <w:spacing w:val="-2"/>
              </w:rPr>
              <w:t>, w zakresie danych, które go dotyczą, po podaniu danych określonych w przepisach wykonawczych w celu autoryzacji i uwierzytelnienia. W tym zakresie zostaną wprowadzone e – usługi dla obywateli w postaci (np. zamów przegląd kominowy wraz z inwentaryzacją, zamów inwentaryzację budynku w gminie,</w:t>
            </w:r>
            <w:r w:rsidR="002568C5">
              <w:rPr>
                <w:rFonts w:ascii="Times New Roman" w:hAnsi="Times New Roman"/>
                <w:color w:val="000000"/>
                <w:spacing w:val="-2"/>
              </w:rPr>
              <w:t xml:space="preserve"> obsługa CEEB</w:t>
            </w:r>
            <w:r w:rsidRPr="004C1F3A">
              <w:rPr>
                <w:rFonts w:ascii="Times New Roman" w:hAnsi="Times New Roman"/>
                <w:color w:val="000000"/>
                <w:spacing w:val="-2"/>
              </w:rPr>
              <w:t xml:space="preserve"> itp.).</w:t>
            </w:r>
          </w:p>
          <w:p w:rsidR="004C1F3A" w:rsidRPr="004C1F3A" w:rsidRDefault="004C1F3A" w:rsidP="004C1F3A">
            <w:pPr>
              <w:spacing w:line="240" w:lineRule="auto"/>
              <w:jc w:val="both"/>
              <w:rPr>
                <w:rFonts w:ascii="Times New Roman" w:hAnsi="Times New Roman"/>
                <w:color w:val="000000"/>
                <w:spacing w:val="-2"/>
              </w:rPr>
            </w:pPr>
          </w:p>
          <w:p w:rsidR="004C1F3A" w:rsidRPr="009B6176" w:rsidRDefault="002568C5" w:rsidP="004C1F3A">
            <w:pPr>
              <w:spacing w:line="240" w:lineRule="auto"/>
              <w:jc w:val="both"/>
              <w:rPr>
                <w:rFonts w:ascii="Times New Roman" w:hAnsi="Times New Roman"/>
                <w:color w:val="000000"/>
                <w:spacing w:val="-2"/>
              </w:rPr>
            </w:pPr>
            <w:r w:rsidRPr="007479C0">
              <w:rPr>
                <w:rFonts w:ascii="Times New Roman" w:hAnsi="Times New Roman"/>
                <w:color w:val="000000"/>
                <w:spacing w:val="-2"/>
              </w:rPr>
              <w:t>VII</w:t>
            </w:r>
            <w:r w:rsidR="00481F21">
              <w:rPr>
                <w:rFonts w:ascii="Times New Roman" w:hAnsi="Times New Roman"/>
                <w:color w:val="000000"/>
                <w:spacing w:val="-2"/>
              </w:rPr>
              <w:t>I</w:t>
            </w:r>
            <w:r w:rsidR="004C1F3A" w:rsidRPr="009B6176">
              <w:rPr>
                <w:rFonts w:ascii="Times New Roman" w:hAnsi="Times New Roman"/>
                <w:color w:val="000000"/>
                <w:spacing w:val="-2"/>
              </w:rPr>
              <w:t xml:space="preserve">) </w:t>
            </w:r>
            <w:r w:rsidRPr="009B6176">
              <w:rPr>
                <w:rFonts w:ascii="Times New Roman" w:hAnsi="Times New Roman"/>
                <w:color w:val="000000"/>
                <w:spacing w:val="-2"/>
              </w:rPr>
              <w:t xml:space="preserve">upoważnienia </w:t>
            </w:r>
            <w:r w:rsidR="004C1F3A" w:rsidRPr="009B6176">
              <w:rPr>
                <w:rFonts w:ascii="Times New Roman" w:hAnsi="Times New Roman"/>
                <w:color w:val="000000"/>
                <w:spacing w:val="-2"/>
              </w:rPr>
              <w:t>do wydania rozporządzeń wykonawczych do ustawy</w:t>
            </w:r>
            <w:r w:rsidRPr="009B6176">
              <w:rPr>
                <w:rFonts w:ascii="Times New Roman" w:hAnsi="Times New Roman"/>
                <w:color w:val="000000"/>
                <w:spacing w:val="-2"/>
              </w:rPr>
              <w:t xml:space="preserve"> </w:t>
            </w:r>
            <w:r w:rsidR="004C1F3A" w:rsidRPr="009B6176">
              <w:rPr>
                <w:rFonts w:ascii="Times New Roman" w:hAnsi="Times New Roman"/>
                <w:color w:val="000000"/>
                <w:spacing w:val="-2"/>
              </w:rPr>
              <w:t>określających:</w:t>
            </w:r>
          </w:p>
          <w:p w:rsidR="009B6176" w:rsidRDefault="002568C5" w:rsidP="00BC0F82">
            <w:pPr>
              <w:pStyle w:val="Akapitzlist"/>
              <w:numPr>
                <w:ilvl w:val="0"/>
                <w:numId w:val="25"/>
              </w:numPr>
              <w:rPr>
                <w:rFonts w:ascii="Times New Roman" w:hAnsi="Times New Roman"/>
                <w:color w:val="000000"/>
                <w:spacing w:val="-2"/>
              </w:rPr>
            </w:pPr>
            <w:r w:rsidRPr="00BC0F82">
              <w:rPr>
                <w:rFonts w:ascii="Times New Roman" w:hAnsi="Times New Roman"/>
                <w:color w:val="000000"/>
                <w:spacing w:val="-2"/>
              </w:rPr>
              <w:lastRenderedPageBreak/>
              <w:t xml:space="preserve">szczegółowy zakres danych i informacji gromadzonych w </w:t>
            </w:r>
            <w:r w:rsidR="00C0242C">
              <w:rPr>
                <w:rFonts w:ascii="Times New Roman" w:hAnsi="Times New Roman"/>
                <w:color w:val="000000"/>
                <w:spacing w:val="-2"/>
              </w:rPr>
              <w:t>CEEB</w:t>
            </w:r>
            <w:r w:rsidRPr="00BC0F82">
              <w:rPr>
                <w:rFonts w:ascii="Times New Roman" w:hAnsi="Times New Roman"/>
                <w:color w:val="000000"/>
                <w:spacing w:val="-2"/>
              </w:rPr>
              <w:t xml:space="preserve">, przekazywanych przez osoby uprawnione oraz uzupełnianych automatycznie przez system teleinformatycznych obsługujący </w:t>
            </w:r>
            <w:r w:rsidR="00C0242C">
              <w:rPr>
                <w:rFonts w:ascii="Times New Roman" w:hAnsi="Times New Roman"/>
                <w:color w:val="000000"/>
                <w:spacing w:val="-2"/>
              </w:rPr>
              <w:t>CEEB</w:t>
            </w:r>
            <w:r w:rsidR="009B6176">
              <w:rPr>
                <w:rFonts w:ascii="Times New Roman" w:hAnsi="Times New Roman"/>
                <w:color w:val="000000"/>
                <w:spacing w:val="-2"/>
              </w:rPr>
              <w:t>;</w:t>
            </w:r>
          </w:p>
          <w:p w:rsidR="009B6176" w:rsidRDefault="009B6176" w:rsidP="00BC0F82">
            <w:pPr>
              <w:pStyle w:val="Akapitzlist"/>
              <w:numPr>
                <w:ilvl w:val="0"/>
                <w:numId w:val="25"/>
              </w:numPr>
              <w:rPr>
                <w:rFonts w:ascii="Times New Roman" w:hAnsi="Times New Roman"/>
                <w:color w:val="000000"/>
                <w:spacing w:val="-2"/>
              </w:rPr>
            </w:pPr>
            <w:r>
              <w:rPr>
                <w:rFonts w:ascii="Times New Roman" w:hAnsi="Times New Roman"/>
                <w:color w:val="000000"/>
                <w:spacing w:val="-2"/>
              </w:rPr>
              <w:t xml:space="preserve">wzór wniosku </w:t>
            </w:r>
            <w:r w:rsidRPr="009B6176">
              <w:rPr>
                <w:rFonts w:ascii="Times New Roman" w:hAnsi="Times New Roman"/>
                <w:color w:val="000000"/>
                <w:spacing w:val="-2"/>
              </w:rPr>
              <w:t>o</w:t>
            </w:r>
            <w:r>
              <w:rPr>
                <w:rFonts w:ascii="Times New Roman" w:hAnsi="Times New Roman"/>
                <w:color w:val="000000"/>
                <w:spacing w:val="-2"/>
              </w:rPr>
              <w:t xml:space="preserve"> wpis do wykazu osób uprawnionych;</w:t>
            </w:r>
          </w:p>
          <w:p w:rsidR="009B6176" w:rsidRPr="00BC0F82" w:rsidRDefault="009B6176" w:rsidP="007479C0">
            <w:pPr>
              <w:pStyle w:val="Akapitzlist"/>
              <w:numPr>
                <w:ilvl w:val="0"/>
                <w:numId w:val="25"/>
              </w:numPr>
              <w:rPr>
                <w:rFonts w:ascii="Times New Roman" w:hAnsi="Times New Roman"/>
                <w:color w:val="000000"/>
                <w:spacing w:val="-2"/>
              </w:rPr>
            </w:pPr>
            <w:r w:rsidRPr="00BC0F82">
              <w:rPr>
                <w:rFonts w:ascii="Times New Roman" w:hAnsi="Times New Roman"/>
                <w:color w:val="000000"/>
                <w:spacing w:val="-2"/>
              </w:rPr>
              <w:t>wzór elektronicznego for</w:t>
            </w:r>
            <w:r w:rsidRPr="007479C0">
              <w:rPr>
                <w:rFonts w:ascii="Times New Roman" w:hAnsi="Times New Roman"/>
                <w:color w:val="000000"/>
                <w:spacing w:val="-2"/>
              </w:rPr>
              <w:t>mularza inwentaryzacyjnego</w:t>
            </w:r>
            <w:r>
              <w:rPr>
                <w:rFonts w:ascii="Times New Roman" w:hAnsi="Times New Roman"/>
                <w:color w:val="000000"/>
                <w:spacing w:val="-2"/>
              </w:rPr>
              <w:t>;</w:t>
            </w:r>
            <w:r w:rsidRPr="00BC0F82">
              <w:rPr>
                <w:rFonts w:ascii="Times New Roman" w:hAnsi="Times New Roman"/>
                <w:color w:val="000000"/>
                <w:spacing w:val="-2"/>
              </w:rPr>
              <w:t xml:space="preserve"> </w:t>
            </w:r>
          </w:p>
          <w:p w:rsidR="009B6176" w:rsidRDefault="009B6176" w:rsidP="00BC0F82">
            <w:pPr>
              <w:pStyle w:val="Akapitzlist"/>
              <w:numPr>
                <w:ilvl w:val="0"/>
                <w:numId w:val="25"/>
              </w:numPr>
              <w:rPr>
                <w:rFonts w:ascii="Times New Roman" w:hAnsi="Times New Roman"/>
                <w:color w:val="000000"/>
                <w:spacing w:val="-2"/>
              </w:rPr>
            </w:pPr>
            <w:r w:rsidRPr="009B6176">
              <w:rPr>
                <w:rFonts w:ascii="Times New Roman" w:hAnsi="Times New Roman"/>
                <w:color w:val="000000"/>
                <w:spacing w:val="-2"/>
              </w:rPr>
              <w:t xml:space="preserve">sposób wprowadzania danych i informacji do </w:t>
            </w:r>
            <w:r w:rsidR="00C0242C">
              <w:rPr>
                <w:rFonts w:ascii="Times New Roman" w:hAnsi="Times New Roman"/>
                <w:color w:val="000000"/>
                <w:spacing w:val="-2"/>
              </w:rPr>
              <w:t>CEEB</w:t>
            </w:r>
            <w:r>
              <w:rPr>
                <w:rFonts w:ascii="Times New Roman" w:hAnsi="Times New Roman"/>
                <w:color w:val="000000"/>
                <w:spacing w:val="-2"/>
              </w:rPr>
              <w:t>;</w:t>
            </w:r>
          </w:p>
          <w:p w:rsidR="009B6176" w:rsidRDefault="009B6176" w:rsidP="00BC0F82">
            <w:pPr>
              <w:pStyle w:val="Akapitzlist"/>
              <w:numPr>
                <w:ilvl w:val="0"/>
                <w:numId w:val="25"/>
              </w:numPr>
              <w:rPr>
                <w:rFonts w:ascii="Times New Roman" w:hAnsi="Times New Roman"/>
                <w:color w:val="000000"/>
                <w:spacing w:val="-2"/>
              </w:rPr>
            </w:pPr>
            <w:r w:rsidRPr="009B6176">
              <w:rPr>
                <w:rFonts w:ascii="Times New Roman" w:hAnsi="Times New Roman"/>
                <w:color w:val="000000"/>
                <w:spacing w:val="-2"/>
              </w:rPr>
              <w:t>szczegółowy zakres udostępnianych danych oraz informacje, których podanie jest wymagane</w:t>
            </w:r>
            <w:r>
              <w:rPr>
                <w:rFonts w:ascii="Times New Roman" w:hAnsi="Times New Roman"/>
                <w:color w:val="000000"/>
                <w:spacing w:val="-2"/>
              </w:rPr>
              <w:t xml:space="preserve"> (e-usługi);</w:t>
            </w:r>
          </w:p>
          <w:p w:rsidR="0036310C" w:rsidRDefault="009B6176" w:rsidP="00BC0F82">
            <w:pPr>
              <w:pStyle w:val="Akapitzlist"/>
              <w:numPr>
                <w:ilvl w:val="0"/>
                <w:numId w:val="25"/>
              </w:numPr>
              <w:rPr>
                <w:rFonts w:ascii="Times New Roman" w:hAnsi="Times New Roman"/>
                <w:color w:val="000000"/>
                <w:spacing w:val="-2"/>
              </w:rPr>
            </w:pPr>
            <w:r>
              <w:rPr>
                <w:rFonts w:ascii="Times New Roman" w:hAnsi="Times New Roman"/>
                <w:color w:val="000000"/>
                <w:spacing w:val="-2"/>
              </w:rPr>
              <w:t>wzór protokołu kontroli</w:t>
            </w:r>
            <w:r w:rsidR="0036310C">
              <w:rPr>
                <w:rFonts w:ascii="Times New Roman" w:hAnsi="Times New Roman"/>
                <w:color w:val="000000"/>
                <w:spacing w:val="-2"/>
              </w:rPr>
              <w:t xml:space="preserve"> w zakresie ochrony środowiska oraz wzór protokołu kontroli kominiarskiej;</w:t>
            </w:r>
          </w:p>
          <w:p w:rsidR="009B6176" w:rsidRDefault="0036310C" w:rsidP="0036310C">
            <w:pPr>
              <w:pStyle w:val="Akapitzlist"/>
              <w:numPr>
                <w:ilvl w:val="0"/>
                <w:numId w:val="25"/>
              </w:numPr>
              <w:rPr>
                <w:rFonts w:ascii="Times New Roman" w:hAnsi="Times New Roman"/>
                <w:color w:val="000000"/>
                <w:spacing w:val="-2"/>
              </w:rPr>
            </w:pPr>
            <w:r>
              <w:rPr>
                <w:rFonts w:ascii="Times New Roman" w:hAnsi="Times New Roman"/>
                <w:color w:val="000000"/>
                <w:spacing w:val="-2"/>
              </w:rPr>
              <w:t>szczegółowy</w:t>
            </w:r>
            <w:r w:rsidRPr="0036310C">
              <w:rPr>
                <w:rFonts w:ascii="Times New Roman" w:hAnsi="Times New Roman"/>
                <w:color w:val="000000"/>
                <w:spacing w:val="-2"/>
              </w:rPr>
              <w:t xml:space="preserve"> zakresu danych objętych deklaracją oraz wzór elektronicznego i pisemnego formularza deklaracji</w:t>
            </w:r>
            <w:r>
              <w:rPr>
                <w:rFonts w:ascii="Times New Roman" w:hAnsi="Times New Roman"/>
                <w:color w:val="000000"/>
                <w:spacing w:val="-2"/>
              </w:rPr>
              <w:t xml:space="preserve">. </w:t>
            </w:r>
          </w:p>
          <w:p w:rsidR="002568C5" w:rsidRDefault="002568C5" w:rsidP="00BC0F82"/>
          <w:p w:rsidR="009B6176" w:rsidRPr="009B6176" w:rsidRDefault="00481F21" w:rsidP="009B6176">
            <w:pPr>
              <w:spacing w:line="240" w:lineRule="auto"/>
              <w:jc w:val="both"/>
              <w:rPr>
                <w:rFonts w:ascii="Times New Roman" w:hAnsi="Times New Roman"/>
                <w:color w:val="000000"/>
                <w:spacing w:val="-2"/>
              </w:rPr>
            </w:pPr>
            <w:r>
              <w:rPr>
                <w:rFonts w:ascii="Times New Roman" w:hAnsi="Times New Roman"/>
                <w:color w:val="000000"/>
                <w:spacing w:val="-2"/>
              </w:rPr>
              <w:t>IX</w:t>
            </w:r>
            <w:r w:rsidR="004C1F3A" w:rsidRPr="004C1F3A">
              <w:rPr>
                <w:rFonts w:ascii="Times New Roman" w:hAnsi="Times New Roman"/>
                <w:color w:val="000000"/>
                <w:spacing w:val="-2"/>
              </w:rPr>
              <w:t>) określenie jednolitego elektronicznego wzoru protokołu kontroli</w:t>
            </w:r>
            <w:r w:rsidR="009B6176">
              <w:rPr>
                <w:rFonts w:ascii="Times New Roman" w:hAnsi="Times New Roman"/>
                <w:color w:val="000000"/>
                <w:spacing w:val="-2"/>
              </w:rPr>
              <w:t xml:space="preserve">. </w:t>
            </w:r>
            <w:r w:rsidR="009B6176" w:rsidRPr="009B6176">
              <w:rPr>
                <w:rFonts w:ascii="Times New Roman" w:hAnsi="Times New Roman"/>
                <w:color w:val="000000"/>
                <w:spacing w:val="-2"/>
              </w:rPr>
              <w:t>Wójt, burmistrz, prezydent miasta sporządza elektroniczny protokół z kontroli, o której mowa:</w:t>
            </w:r>
          </w:p>
          <w:p w:rsidR="009B6176" w:rsidRPr="009B6176" w:rsidRDefault="009B6176" w:rsidP="009B6176">
            <w:pPr>
              <w:spacing w:line="240" w:lineRule="auto"/>
              <w:jc w:val="both"/>
              <w:rPr>
                <w:rFonts w:ascii="Times New Roman" w:hAnsi="Times New Roman"/>
                <w:color w:val="000000"/>
                <w:spacing w:val="-2"/>
              </w:rPr>
            </w:pPr>
            <w:r w:rsidRPr="009B6176">
              <w:rPr>
                <w:rFonts w:ascii="Times New Roman" w:hAnsi="Times New Roman"/>
                <w:color w:val="000000"/>
                <w:spacing w:val="-2"/>
              </w:rPr>
              <w:t>1) w art. 379 ust. 1 ustawy</w:t>
            </w:r>
            <w:r w:rsidR="0009694D">
              <w:rPr>
                <w:rFonts w:ascii="Times New Roman" w:hAnsi="Times New Roman"/>
                <w:color w:val="000000"/>
                <w:spacing w:val="-2"/>
              </w:rPr>
              <w:t xml:space="preserve"> </w:t>
            </w:r>
            <w:r w:rsidR="0009694D" w:rsidRPr="0009694D">
              <w:rPr>
                <w:rFonts w:ascii="Times New Roman" w:hAnsi="Times New Roman"/>
                <w:color w:val="000000"/>
                <w:spacing w:val="-2"/>
              </w:rPr>
              <w:t>z dnia 27 kwietnia 2001 r. – Prawo ochrony środowiska</w:t>
            </w:r>
            <w:r w:rsidR="000244E6">
              <w:rPr>
                <w:rFonts w:ascii="Times New Roman" w:hAnsi="Times New Roman"/>
                <w:color w:val="000000"/>
                <w:spacing w:val="-2"/>
              </w:rPr>
              <w:t xml:space="preserve"> </w:t>
            </w:r>
            <w:r w:rsidRPr="009B6176">
              <w:rPr>
                <w:rFonts w:ascii="Times New Roman" w:hAnsi="Times New Roman"/>
                <w:color w:val="000000"/>
                <w:spacing w:val="-2"/>
              </w:rPr>
              <w:t>w zakresie:</w:t>
            </w:r>
          </w:p>
          <w:p w:rsidR="009B6176" w:rsidRPr="009B6176" w:rsidRDefault="009B6176" w:rsidP="009B6176">
            <w:pPr>
              <w:spacing w:line="240" w:lineRule="auto"/>
              <w:jc w:val="both"/>
              <w:rPr>
                <w:rFonts w:ascii="Times New Roman" w:hAnsi="Times New Roman"/>
                <w:color w:val="000000"/>
                <w:spacing w:val="-2"/>
              </w:rPr>
            </w:pPr>
            <w:r w:rsidRPr="009B6176">
              <w:rPr>
                <w:rFonts w:ascii="Times New Roman" w:hAnsi="Times New Roman"/>
                <w:color w:val="000000"/>
                <w:spacing w:val="-2"/>
              </w:rPr>
              <w:t>a) źródła spalania paliw o nominalnej mocy cieplnej mniejszej niż 1 MW, niewymagającego pozwolenia, o którym mowa w art. 181 ust. 1 pkt 1 i 2 albo zgłoszenia, o którym mowa w art. 152 ust. 1 tej ustawy,</w:t>
            </w:r>
          </w:p>
          <w:p w:rsidR="009B6176" w:rsidRPr="009B6176" w:rsidRDefault="009B6176" w:rsidP="009B6176">
            <w:pPr>
              <w:spacing w:line="240" w:lineRule="auto"/>
              <w:jc w:val="both"/>
              <w:rPr>
                <w:rFonts w:ascii="Times New Roman" w:hAnsi="Times New Roman"/>
                <w:color w:val="000000"/>
                <w:spacing w:val="-2"/>
              </w:rPr>
            </w:pPr>
            <w:r w:rsidRPr="009B6176">
              <w:rPr>
                <w:rFonts w:ascii="Times New Roman" w:hAnsi="Times New Roman"/>
                <w:color w:val="000000"/>
                <w:spacing w:val="-2"/>
              </w:rPr>
              <w:t>b) spełnienia wymagań określonych w uchwale, o której mowa w art. 96 ust. 1 tej ustawy;</w:t>
            </w:r>
          </w:p>
          <w:p w:rsidR="009B6176" w:rsidRPr="009B6176" w:rsidRDefault="009B6176" w:rsidP="009B6176">
            <w:pPr>
              <w:spacing w:line="240" w:lineRule="auto"/>
              <w:jc w:val="both"/>
              <w:rPr>
                <w:rFonts w:ascii="Times New Roman" w:hAnsi="Times New Roman"/>
                <w:color w:val="000000"/>
                <w:spacing w:val="-2"/>
              </w:rPr>
            </w:pPr>
            <w:r w:rsidRPr="009B6176">
              <w:rPr>
                <w:rFonts w:ascii="Times New Roman" w:hAnsi="Times New Roman"/>
                <w:color w:val="000000"/>
                <w:spacing w:val="-2"/>
              </w:rPr>
              <w:t>2) w art. 9u ust. 1 ustawy</w:t>
            </w:r>
            <w:r w:rsidR="00DE3173">
              <w:rPr>
                <w:rFonts w:ascii="Times New Roman" w:hAnsi="Times New Roman"/>
                <w:color w:val="000000"/>
                <w:spacing w:val="-2"/>
              </w:rPr>
              <w:t xml:space="preserve"> </w:t>
            </w:r>
            <w:r w:rsidR="00DE3173" w:rsidRPr="00DE3173">
              <w:rPr>
                <w:rFonts w:ascii="Times New Roman" w:hAnsi="Times New Roman"/>
                <w:color w:val="000000"/>
                <w:spacing w:val="-2"/>
              </w:rPr>
              <w:t>z dnia 13 września 1996 r.</w:t>
            </w:r>
            <w:r w:rsidR="00ED2840">
              <w:rPr>
                <w:rFonts w:ascii="Times New Roman" w:hAnsi="Times New Roman"/>
                <w:color w:val="000000"/>
                <w:spacing w:val="-2"/>
              </w:rPr>
              <w:t xml:space="preserve"> </w:t>
            </w:r>
            <w:r w:rsidRPr="009B6176">
              <w:rPr>
                <w:rFonts w:ascii="Times New Roman" w:hAnsi="Times New Roman"/>
                <w:color w:val="000000"/>
                <w:spacing w:val="-2"/>
              </w:rPr>
              <w:t>o utrzymaniu czystości i porządku w gminach w zakresie:</w:t>
            </w:r>
          </w:p>
          <w:p w:rsidR="009B6176" w:rsidRPr="009B6176" w:rsidRDefault="009B6176" w:rsidP="009B6176">
            <w:pPr>
              <w:spacing w:line="240" w:lineRule="auto"/>
              <w:jc w:val="both"/>
              <w:rPr>
                <w:rFonts w:ascii="Times New Roman" w:hAnsi="Times New Roman"/>
                <w:color w:val="000000"/>
                <w:spacing w:val="-2"/>
              </w:rPr>
            </w:pPr>
            <w:r w:rsidRPr="009B6176">
              <w:rPr>
                <w:rFonts w:ascii="Times New Roman" w:hAnsi="Times New Roman"/>
                <w:color w:val="000000"/>
                <w:spacing w:val="-2"/>
              </w:rPr>
              <w:t xml:space="preserve">a) gospodarowania odpadami komunalnymi, </w:t>
            </w:r>
          </w:p>
          <w:p w:rsidR="009B6176" w:rsidRPr="009B6176" w:rsidRDefault="009B6176" w:rsidP="009B6176">
            <w:pPr>
              <w:spacing w:line="240" w:lineRule="auto"/>
              <w:jc w:val="both"/>
              <w:rPr>
                <w:rFonts w:ascii="Times New Roman" w:hAnsi="Times New Roman"/>
                <w:color w:val="000000"/>
                <w:spacing w:val="-2"/>
              </w:rPr>
            </w:pPr>
            <w:r w:rsidRPr="009B6176">
              <w:rPr>
                <w:rFonts w:ascii="Times New Roman" w:hAnsi="Times New Roman"/>
                <w:color w:val="000000"/>
                <w:spacing w:val="-2"/>
              </w:rPr>
              <w:t xml:space="preserve">b) pozbywania się nieczystości ciekłych </w:t>
            </w:r>
          </w:p>
          <w:p w:rsidR="009B6176" w:rsidRDefault="009B6176" w:rsidP="009B6176">
            <w:pPr>
              <w:spacing w:line="240" w:lineRule="auto"/>
              <w:jc w:val="both"/>
              <w:rPr>
                <w:rFonts w:ascii="Times New Roman" w:hAnsi="Times New Roman"/>
                <w:color w:val="000000"/>
                <w:spacing w:val="-2"/>
              </w:rPr>
            </w:pPr>
            <w:r w:rsidRPr="009B6176">
              <w:rPr>
                <w:rFonts w:ascii="Times New Roman" w:hAnsi="Times New Roman"/>
                <w:color w:val="000000"/>
                <w:spacing w:val="-2"/>
              </w:rPr>
              <w:t xml:space="preserve">– z wykorzystaniem systemu teleinformatycznego obsługującego </w:t>
            </w:r>
            <w:r w:rsidR="00AB7696">
              <w:rPr>
                <w:rFonts w:ascii="Times New Roman" w:hAnsi="Times New Roman"/>
                <w:color w:val="000000"/>
                <w:spacing w:val="-2"/>
              </w:rPr>
              <w:t>CEEB</w:t>
            </w:r>
            <w:r w:rsidRPr="009B6176">
              <w:rPr>
                <w:rFonts w:ascii="Times New Roman" w:hAnsi="Times New Roman"/>
                <w:color w:val="000000"/>
                <w:spacing w:val="-2"/>
              </w:rPr>
              <w:t>.</w:t>
            </w:r>
          </w:p>
          <w:p w:rsidR="006A701A" w:rsidRDefault="009B6176" w:rsidP="00B37C80">
            <w:pPr>
              <w:spacing w:line="240" w:lineRule="auto"/>
              <w:jc w:val="both"/>
              <w:rPr>
                <w:rFonts w:ascii="Times New Roman" w:hAnsi="Times New Roman"/>
                <w:color w:val="000000"/>
                <w:spacing w:val="-2"/>
              </w:rPr>
            </w:pPr>
            <w:r>
              <w:rPr>
                <w:rFonts w:ascii="Times New Roman" w:hAnsi="Times New Roman"/>
                <w:color w:val="000000"/>
                <w:spacing w:val="-2"/>
              </w:rPr>
              <w:t>S</w:t>
            </w:r>
            <w:r w:rsidR="004C1F3A" w:rsidRPr="004C1F3A">
              <w:rPr>
                <w:rFonts w:ascii="Times New Roman" w:hAnsi="Times New Roman"/>
                <w:color w:val="000000"/>
                <w:spacing w:val="-2"/>
              </w:rPr>
              <w:t xml:space="preserve">prawując kontrolę przestrzegania i stosowania przepisów o ochronie środowiska na podstawie ww. ustaw, w zakresie objętym właściwością swoich organów, doręcza </w:t>
            </w:r>
            <w:r>
              <w:rPr>
                <w:rFonts w:ascii="Times New Roman" w:hAnsi="Times New Roman"/>
                <w:color w:val="000000"/>
                <w:spacing w:val="-2"/>
              </w:rPr>
              <w:t xml:space="preserve">się </w:t>
            </w:r>
            <w:r w:rsidR="004C1F3A" w:rsidRPr="004C1F3A">
              <w:rPr>
                <w:rFonts w:ascii="Times New Roman" w:hAnsi="Times New Roman"/>
                <w:color w:val="000000"/>
                <w:spacing w:val="-2"/>
              </w:rPr>
              <w:t xml:space="preserve">kontrolowanemu protokół kontroli, którego wzór i zakres nie został dotychczas określony przepisami prawa. Praktyka wskazuje, że organy kontrolne posługują się różnymi wzorcami protokołów, które różnią się od siebie. System teleinformatyczny obsługujący </w:t>
            </w:r>
            <w:r w:rsidR="00C0242C">
              <w:rPr>
                <w:rFonts w:ascii="Times New Roman" w:hAnsi="Times New Roman"/>
                <w:color w:val="000000"/>
                <w:spacing w:val="-2"/>
              </w:rPr>
              <w:t>CEEB</w:t>
            </w:r>
            <w:r w:rsidR="004C1F3A" w:rsidRPr="004C1F3A">
              <w:rPr>
                <w:rFonts w:ascii="Times New Roman" w:hAnsi="Times New Roman"/>
                <w:color w:val="000000"/>
                <w:spacing w:val="-2"/>
              </w:rPr>
              <w:t xml:space="preserve"> umożliwi generowanie protokołów kontroli za pośrednictwem aplikacji dostępowej, co w istotny sposób ułatwi pracę organów kontrolnych.</w:t>
            </w:r>
          </w:p>
          <w:p w:rsidR="009F78EA" w:rsidRPr="00481F21" w:rsidRDefault="009F78EA" w:rsidP="00B37C80">
            <w:pPr>
              <w:spacing w:line="240" w:lineRule="auto"/>
              <w:jc w:val="both"/>
              <w:rPr>
                <w:rFonts w:ascii="Times New Roman" w:hAnsi="Times New Roman"/>
                <w:b/>
                <w:color w:val="000000"/>
                <w:spacing w:val="-2"/>
              </w:rPr>
            </w:pPr>
          </w:p>
          <w:p w:rsidR="0036310C" w:rsidRDefault="0036310C" w:rsidP="00B37C80">
            <w:pPr>
              <w:spacing w:line="240" w:lineRule="auto"/>
              <w:jc w:val="both"/>
              <w:rPr>
                <w:rFonts w:ascii="Times New Roman" w:hAnsi="Times New Roman"/>
                <w:color w:val="000000"/>
                <w:spacing w:val="-2"/>
              </w:rPr>
            </w:pPr>
            <w:r>
              <w:rPr>
                <w:rFonts w:ascii="Times New Roman" w:hAnsi="Times New Roman"/>
                <w:color w:val="000000"/>
                <w:spacing w:val="-2"/>
              </w:rPr>
              <w:t>X) w</w:t>
            </w:r>
            <w:r w:rsidRPr="0036310C">
              <w:rPr>
                <w:rFonts w:ascii="Times New Roman" w:hAnsi="Times New Roman"/>
                <w:color w:val="000000"/>
                <w:spacing w:val="-2"/>
              </w:rPr>
              <w:t xml:space="preserve"> art. 9  wprowadza się zmiany w ustawie z dnia 7 lipca 1994 r. – Prawo budowlane (Dz. U. z 2020 r. poz. 1186, z późn. zm.), stanowiące przepisy szczególne względem regulacji określonej w art. 62a ust. 1</w:t>
            </w:r>
            <w:r w:rsidR="00E05EA4">
              <w:rPr>
                <w:rFonts w:ascii="Times New Roman" w:hAnsi="Times New Roman"/>
                <w:color w:val="000000"/>
                <w:spacing w:val="-2"/>
              </w:rPr>
              <w:t xml:space="preserve"> tej ustawy</w:t>
            </w:r>
            <w:r w:rsidRPr="0036310C">
              <w:rPr>
                <w:rFonts w:ascii="Times New Roman" w:hAnsi="Times New Roman"/>
                <w:color w:val="000000"/>
                <w:spacing w:val="-2"/>
              </w:rPr>
              <w:t>, a dotyczące protokołu kontroli w zakresie kontroli przewodów kominowych (dymowych, spalinowych i wentylacyjnych) przeprowadzanej na podstawie art. 62 ust. 1 pkt 1 lit. c. Protokół w tym zakresie jest sporządzany w formie elektronicznego protokołu kontroli, z wykorzystaniem systemu teleinformatycznego obsługującego ewidencję, o której mowa w art. 27a ust. 1 ustawy z dnia 21 listopada 2008 r. o wspieraniu termomodernizacji i remontów oraz o centralnej ewidencji emisyjności budynków (Dz. U. z 2020 poz. 22). Wzór takiego protokołu zostanie określony w rozporządzeniu wykonawczym. Formularz protokołu kontrolnego zostanie zaimplementowany w rozwiązaniu informatycznym budowanej CEEB, jako jeden z wielu modułów funkcjonującego systemu. Osoba wpisana do wykazu osób uprawnionych, wykonująca kontrole przewodów kominowych (dymowych, spalinowych i wentylacyjnych) na podstawie art. 62 ust. 1 pkt 1 lit. c uzyska bezpośredni dostęp do elektronicznego formularza takiego protokołu po zalogowaniu się do systemu.</w:t>
            </w:r>
          </w:p>
          <w:p w:rsidR="009F78EA" w:rsidRPr="00481F21" w:rsidRDefault="009F78EA" w:rsidP="009A3181">
            <w:pPr>
              <w:spacing w:line="240" w:lineRule="auto"/>
              <w:jc w:val="both"/>
              <w:rPr>
                <w:rFonts w:ascii="Times New Roman" w:hAnsi="Times New Roman"/>
                <w:bCs/>
                <w:color w:val="000000"/>
                <w:spacing w:val="-2"/>
              </w:rPr>
            </w:pPr>
          </w:p>
          <w:p w:rsidR="001A5B21" w:rsidRDefault="009F78EA" w:rsidP="00481F21">
            <w:pPr>
              <w:spacing w:line="240" w:lineRule="auto"/>
              <w:jc w:val="both"/>
              <w:rPr>
                <w:rFonts w:ascii="Times New Roman" w:hAnsi="Times New Roman"/>
                <w:color w:val="000000"/>
                <w:spacing w:val="-2"/>
              </w:rPr>
            </w:pPr>
            <w:r w:rsidRPr="00481F21">
              <w:rPr>
                <w:rFonts w:ascii="Times New Roman" w:hAnsi="Times New Roman"/>
                <w:bCs/>
                <w:color w:val="000000"/>
                <w:spacing w:val="-2"/>
              </w:rPr>
              <w:t xml:space="preserve">Ad 2. </w:t>
            </w:r>
            <w:r w:rsidR="00834799" w:rsidRPr="00481F21">
              <w:rPr>
                <w:rFonts w:ascii="Times New Roman" w:hAnsi="Times New Roman"/>
                <w:bCs/>
                <w:color w:val="000000"/>
                <w:spacing w:val="-2"/>
              </w:rPr>
              <w:t xml:space="preserve">Natomiast w zakresie </w:t>
            </w:r>
            <w:r w:rsidR="00785DAC" w:rsidRPr="00481F21">
              <w:rPr>
                <w:rFonts w:ascii="Times New Roman" w:hAnsi="Times New Roman"/>
                <w:bCs/>
                <w:color w:val="000000"/>
                <w:spacing w:val="-2"/>
              </w:rPr>
              <w:t xml:space="preserve">Programu Stop Smog </w:t>
            </w:r>
            <w:r w:rsidR="00785DAC">
              <w:rPr>
                <w:rFonts w:ascii="Times New Roman" w:hAnsi="Times New Roman"/>
                <w:color w:val="000000"/>
                <w:spacing w:val="-2"/>
              </w:rPr>
              <w:t>projektowana regulacja ma przede wszystkim zapewnić zwiększenie jego atrakcyjności dla gmin, co sprawi, że liczba uczestniczących w nim samorządów znacząco się zwiększy. Powinno to być osiągnięte m.in. poprzez</w:t>
            </w:r>
            <w:r w:rsidR="00D12010">
              <w:rPr>
                <w:rFonts w:ascii="Times New Roman" w:hAnsi="Times New Roman"/>
                <w:color w:val="000000"/>
                <w:spacing w:val="-2"/>
              </w:rPr>
              <w:t>:</w:t>
            </w:r>
            <w:r w:rsidR="00785DAC">
              <w:rPr>
                <w:rFonts w:ascii="Times New Roman" w:hAnsi="Times New Roman"/>
                <w:color w:val="000000"/>
                <w:spacing w:val="-2"/>
              </w:rPr>
              <w:t xml:space="preserve"> </w:t>
            </w:r>
          </w:p>
          <w:p w:rsidR="00DF6255" w:rsidRDefault="00ED7806" w:rsidP="001A5B21">
            <w:pPr>
              <w:pStyle w:val="Akapitzlist"/>
              <w:numPr>
                <w:ilvl w:val="0"/>
                <w:numId w:val="28"/>
              </w:numPr>
              <w:tabs>
                <w:tab w:val="left" w:pos="318"/>
              </w:tabs>
              <w:spacing w:line="240" w:lineRule="auto"/>
              <w:jc w:val="both"/>
              <w:rPr>
                <w:rFonts w:ascii="Times New Roman" w:hAnsi="Times New Roman"/>
                <w:color w:val="000000"/>
                <w:spacing w:val="-2"/>
              </w:rPr>
            </w:pPr>
            <w:r w:rsidRPr="00ED7806">
              <w:rPr>
                <w:rFonts w:ascii="Times New Roman" w:hAnsi="Times New Roman"/>
                <w:color w:val="000000"/>
                <w:spacing w:val="-2"/>
              </w:rPr>
              <w:lastRenderedPageBreak/>
              <w:t xml:space="preserve">Zmniejszenie minimalnej liczby budynków jednorodzinnych umożliwiającej aplikowanie do Programu (z 2% do 1% lub </w:t>
            </w:r>
            <w:r w:rsidR="009F78EA">
              <w:rPr>
                <w:rFonts w:ascii="Times New Roman" w:hAnsi="Times New Roman"/>
                <w:color w:val="000000"/>
                <w:spacing w:val="-2"/>
              </w:rPr>
              <w:t>2</w:t>
            </w:r>
            <w:r w:rsidR="009F78EA" w:rsidRPr="00ED7806">
              <w:rPr>
                <w:rFonts w:ascii="Times New Roman" w:hAnsi="Times New Roman"/>
                <w:color w:val="000000"/>
                <w:spacing w:val="-2"/>
              </w:rPr>
              <w:t xml:space="preserve">0 </w:t>
            </w:r>
            <w:r w:rsidRPr="00ED7806">
              <w:rPr>
                <w:rFonts w:ascii="Times New Roman" w:hAnsi="Times New Roman"/>
                <w:color w:val="000000"/>
                <w:spacing w:val="-2"/>
              </w:rPr>
              <w:t>budynków)</w:t>
            </w:r>
            <w:r>
              <w:rPr>
                <w:rFonts w:ascii="Times New Roman" w:hAnsi="Times New Roman"/>
                <w:color w:val="000000"/>
                <w:spacing w:val="-2"/>
              </w:rPr>
              <w:t xml:space="preserve"> oraz j</w:t>
            </w:r>
            <w:r w:rsidRPr="00ED7806">
              <w:rPr>
                <w:rFonts w:ascii="Times New Roman" w:hAnsi="Times New Roman"/>
                <w:color w:val="000000"/>
                <w:spacing w:val="-2"/>
              </w:rPr>
              <w:t xml:space="preserve">ednorazowe zniesienie </w:t>
            </w:r>
            <w:r>
              <w:rPr>
                <w:rFonts w:ascii="Times New Roman" w:hAnsi="Times New Roman"/>
                <w:color w:val="000000"/>
                <w:spacing w:val="-2"/>
              </w:rPr>
              <w:t>tego limitu</w:t>
            </w:r>
            <w:r w:rsidRPr="00ED7806">
              <w:rPr>
                <w:rFonts w:ascii="Times New Roman" w:hAnsi="Times New Roman"/>
                <w:color w:val="000000"/>
                <w:spacing w:val="-2"/>
              </w:rPr>
              <w:t>, w sytuacji gdy wcześniej gmina zawarła co najmniej jedno porozumienie</w:t>
            </w:r>
            <w:r>
              <w:rPr>
                <w:rFonts w:ascii="Times New Roman" w:hAnsi="Times New Roman"/>
                <w:color w:val="000000"/>
                <w:spacing w:val="-2"/>
              </w:rPr>
              <w:t>.</w:t>
            </w:r>
          </w:p>
          <w:p w:rsidR="006A0D1F" w:rsidRPr="00FB1A75" w:rsidRDefault="006A0D1F" w:rsidP="006F7986">
            <w:pPr>
              <w:pStyle w:val="Akapitzlist"/>
              <w:numPr>
                <w:ilvl w:val="0"/>
                <w:numId w:val="28"/>
              </w:numPr>
              <w:tabs>
                <w:tab w:val="left" w:pos="318"/>
              </w:tabs>
              <w:spacing w:line="240" w:lineRule="auto"/>
              <w:jc w:val="both"/>
              <w:rPr>
                <w:rFonts w:ascii="Times New Roman" w:hAnsi="Times New Roman"/>
                <w:color w:val="000000"/>
                <w:spacing w:val="-2"/>
              </w:rPr>
            </w:pPr>
            <w:r w:rsidRPr="006A0D1F">
              <w:rPr>
                <w:rFonts w:ascii="Times New Roman" w:hAnsi="Times New Roman"/>
                <w:color w:val="000000"/>
                <w:spacing w:val="-2"/>
              </w:rPr>
              <w:t>Zmniejszenie z 50</w:t>
            </w:r>
            <w:r w:rsidR="00DE194E">
              <w:rPr>
                <w:rFonts w:ascii="Times New Roman" w:hAnsi="Times New Roman"/>
                <w:color w:val="000000"/>
                <w:spacing w:val="-2"/>
              </w:rPr>
              <w:t>%</w:t>
            </w:r>
            <w:r w:rsidRPr="006A0D1F">
              <w:rPr>
                <w:rFonts w:ascii="Times New Roman" w:hAnsi="Times New Roman"/>
                <w:color w:val="000000"/>
                <w:spacing w:val="-2"/>
              </w:rPr>
              <w:t xml:space="preserve"> na 30% wymaganej redukcji zapotrzebowania na ciepło grzewcze liczonego łącznie dla wszystkich przedsięwzięć niskoemisyjnych</w:t>
            </w:r>
            <w:r>
              <w:rPr>
                <w:rFonts w:ascii="Times New Roman" w:hAnsi="Times New Roman"/>
                <w:color w:val="000000"/>
                <w:spacing w:val="-2"/>
              </w:rPr>
              <w:t xml:space="preserve"> realizowanych przez gminę w ramach jednego porozumienia</w:t>
            </w:r>
            <w:r w:rsidR="001C7683">
              <w:rPr>
                <w:rFonts w:ascii="Times New Roman" w:hAnsi="Times New Roman"/>
                <w:color w:val="000000"/>
                <w:spacing w:val="-2"/>
              </w:rPr>
              <w:t>.</w:t>
            </w:r>
            <w:r w:rsidR="006F7986">
              <w:t xml:space="preserve"> </w:t>
            </w:r>
            <w:r w:rsidR="006F7986">
              <w:rPr>
                <w:rFonts w:ascii="Times New Roman" w:hAnsi="Times New Roman"/>
                <w:color w:val="000000"/>
                <w:spacing w:val="-2"/>
              </w:rPr>
              <w:t xml:space="preserve">Doświadczenia poszczególnych </w:t>
            </w:r>
            <w:r w:rsidR="006F7986" w:rsidRPr="006F7986">
              <w:rPr>
                <w:rFonts w:ascii="Times New Roman" w:hAnsi="Times New Roman"/>
                <w:color w:val="000000"/>
                <w:spacing w:val="-2"/>
              </w:rPr>
              <w:t>gmin pokazują, że osiągnięcie 50% zmniejszenia energii w założonym budżecie (maksymalny średni budżet na 1 budynek wynosi 53 000 zł) często jest trudne lub niewykonalne.</w:t>
            </w:r>
            <w:r w:rsidR="006F7986">
              <w:rPr>
                <w:rFonts w:ascii="Times New Roman" w:hAnsi="Times New Roman"/>
                <w:color w:val="000000"/>
                <w:spacing w:val="-2"/>
              </w:rPr>
              <w:t xml:space="preserve"> </w:t>
            </w:r>
            <w:r w:rsidR="006F7986" w:rsidRPr="00FB1A75">
              <w:rPr>
                <w:rFonts w:ascii="Times New Roman" w:hAnsi="Times New Roman"/>
                <w:color w:val="000000"/>
                <w:spacing w:val="-2"/>
              </w:rPr>
              <w:t>Należy również wziąć pod uwagę grupę docelową Programu (gospodarstwa domowe ubogie energetycznie), w tym wynikający z tego ogólny stan budynków zamieszkiwanych przez te gospodarstw</w:t>
            </w:r>
            <w:r w:rsidR="00601C7D">
              <w:rPr>
                <w:rFonts w:ascii="Times New Roman" w:hAnsi="Times New Roman"/>
                <w:color w:val="000000"/>
                <w:spacing w:val="-2"/>
              </w:rPr>
              <w:t>a</w:t>
            </w:r>
            <w:r w:rsidR="00D83258">
              <w:rPr>
                <w:rFonts w:ascii="Times New Roman" w:hAnsi="Times New Roman"/>
                <w:color w:val="000000"/>
                <w:spacing w:val="-2"/>
              </w:rPr>
              <w:t>, d</w:t>
            </w:r>
            <w:r w:rsidR="006F7986" w:rsidRPr="00FB1A75">
              <w:rPr>
                <w:rFonts w:ascii="Times New Roman" w:hAnsi="Times New Roman"/>
                <w:color w:val="000000"/>
                <w:spacing w:val="-2"/>
              </w:rPr>
              <w:t>latego osiągnięcie 30% oszczędności energii staje się najbardziej optymalnym poziomem.</w:t>
            </w:r>
          </w:p>
          <w:p w:rsidR="001C7683" w:rsidRDefault="001C7683" w:rsidP="00F61A42">
            <w:pPr>
              <w:pStyle w:val="Akapitzlist"/>
              <w:numPr>
                <w:ilvl w:val="0"/>
                <w:numId w:val="28"/>
              </w:numPr>
              <w:tabs>
                <w:tab w:val="left" w:pos="318"/>
              </w:tabs>
              <w:spacing w:line="240" w:lineRule="auto"/>
              <w:jc w:val="both"/>
              <w:rPr>
                <w:rFonts w:ascii="Times New Roman" w:hAnsi="Times New Roman"/>
                <w:color w:val="000000"/>
                <w:spacing w:val="-2"/>
              </w:rPr>
            </w:pPr>
            <w:r w:rsidRPr="001C7683">
              <w:rPr>
                <w:rFonts w:ascii="Times New Roman" w:hAnsi="Times New Roman"/>
                <w:color w:val="000000"/>
                <w:spacing w:val="-2"/>
              </w:rPr>
              <w:t>Wydłużenie z 3 do 4 lat okresu realizacji porozumienia – w przypadku realizacji przez gminę w danym porozumieniu więcej niż 2%</w:t>
            </w:r>
            <w:r>
              <w:rPr>
                <w:rFonts w:ascii="Times New Roman" w:hAnsi="Times New Roman"/>
                <w:color w:val="000000"/>
                <w:spacing w:val="-2"/>
              </w:rPr>
              <w:t xml:space="preserve"> budynków jednorodzinnych w gminie.</w:t>
            </w:r>
          </w:p>
          <w:p w:rsidR="00FA20D1" w:rsidRDefault="001C7683" w:rsidP="00F61A42">
            <w:pPr>
              <w:pStyle w:val="Akapitzlist"/>
              <w:numPr>
                <w:ilvl w:val="0"/>
                <w:numId w:val="28"/>
              </w:numPr>
              <w:tabs>
                <w:tab w:val="left" w:pos="318"/>
              </w:tabs>
              <w:spacing w:line="240" w:lineRule="auto"/>
              <w:jc w:val="both"/>
              <w:rPr>
                <w:rFonts w:ascii="Times New Roman" w:hAnsi="Times New Roman"/>
                <w:color w:val="000000"/>
                <w:spacing w:val="-2"/>
              </w:rPr>
            </w:pPr>
            <w:r w:rsidRPr="00FA20D1">
              <w:rPr>
                <w:rFonts w:ascii="Times New Roman" w:hAnsi="Times New Roman"/>
                <w:color w:val="000000"/>
                <w:spacing w:val="-2"/>
              </w:rPr>
              <w:t>Skrócenie z 10 do 5 lat okres</w:t>
            </w:r>
            <w:r w:rsidR="00FA20D1" w:rsidRPr="00FA20D1">
              <w:rPr>
                <w:rFonts w:ascii="Times New Roman" w:hAnsi="Times New Roman"/>
                <w:color w:val="000000"/>
                <w:spacing w:val="-2"/>
              </w:rPr>
              <w:t xml:space="preserve">u po zakończeniu porozumienia dla </w:t>
            </w:r>
            <w:r w:rsidR="00FA20D1" w:rsidRPr="00BA5F73">
              <w:rPr>
                <w:rFonts w:ascii="Times New Roman" w:hAnsi="Times New Roman"/>
                <w:color w:val="000000"/>
                <w:spacing w:val="-2"/>
              </w:rPr>
              <w:t>działań/zobowiązań</w:t>
            </w:r>
            <w:r w:rsidR="00FA20D1">
              <w:rPr>
                <w:rFonts w:ascii="Times New Roman" w:hAnsi="Times New Roman"/>
                <w:color w:val="000000"/>
                <w:spacing w:val="-2"/>
              </w:rPr>
              <w:t xml:space="preserve"> dotyczących:</w:t>
            </w:r>
          </w:p>
          <w:p w:rsidR="00FA20D1" w:rsidRDefault="00FA20D1" w:rsidP="00F61A42">
            <w:pPr>
              <w:pStyle w:val="Akapitzlist"/>
              <w:numPr>
                <w:ilvl w:val="1"/>
                <w:numId w:val="28"/>
              </w:numPr>
              <w:tabs>
                <w:tab w:val="left" w:pos="318"/>
              </w:tabs>
              <w:spacing w:line="240" w:lineRule="auto"/>
              <w:jc w:val="both"/>
              <w:rPr>
                <w:rFonts w:ascii="Times New Roman" w:hAnsi="Times New Roman"/>
                <w:color w:val="000000"/>
                <w:spacing w:val="-2"/>
              </w:rPr>
            </w:pPr>
            <w:r>
              <w:rPr>
                <w:rFonts w:ascii="Times New Roman" w:hAnsi="Times New Roman"/>
                <w:color w:val="000000"/>
                <w:spacing w:val="-2"/>
              </w:rPr>
              <w:t xml:space="preserve">obowiązku </w:t>
            </w:r>
            <w:r w:rsidRPr="00FA20D1">
              <w:rPr>
                <w:rFonts w:ascii="Times New Roman" w:hAnsi="Times New Roman"/>
                <w:color w:val="000000"/>
                <w:spacing w:val="-2"/>
              </w:rPr>
              <w:t>beneficjent</w:t>
            </w:r>
            <w:r>
              <w:rPr>
                <w:rFonts w:ascii="Times New Roman" w:hAnsi="Times New Roman"/>
                <w:color w:val="000000"/>
                <w:spacing w:val="-2"/>
              </w:rPr>
              <w:t>a</w:t>
            </w:r>
            <w:r w:rsidRPr="00FA20D1">
              <w:rPr>
                <w:rFonts w:ascii="Times New Roman" w:hAnsi="Times New Roman"/>
                <w:color w:val="000000"/>
                <w:spacing w:val="-2"/>
              </w:rPr>
              <w:t xml:space="preserve"> </w:t>
            </w:r>
            <w:r>
              <w:rPr>
                <w:rFonts w:ascii="Times New Roman" w:hAnsi="Times New Roman"/>
                <w:color w:val="000000"/>
                <w:spacing w:val="-2"/>
              </w:rPr>
              <w:t>w zakresie zwrotu odpowiedniej</w:t>
            </w:r>
            <w:r w:rsidRPr="00FA20D1">
              <w:rPr>
                <w:rFonts w:ascii="Times New Roman" w:hAnsi="Times New Roman"/>
                <w:color w:val="000000"/>
                <w:spacing w:val="-2"/>
              </w:rPr>
              <w:t xml:space="preserve"> część wartości przedsięwzięcia</w:t>
            </w:r>
            <w:r>
              <w:rPr>
                <w:rFonts w:ascii="Times New Roman" w:hAnsi="Times New Roman"/>
                <w:color w:val="000000"/>
                <w:spacing w:val="-2"/>
              </w:rPr>
              <w:t xml:space="preserve"> w przypadku sprzedaży budynku;</w:t>
            </w:r>
          </w:p>
          <w:p w:rsidR="001A5B21" w:rsidRPr="001A5B21" w:rsidRDefault="001A5B21" w:rsidP="001A5B21">
            <w:pPr>
              <w:pStyle w:val="Akapitzlist"/>
              <w:numPr>
                <w:ilvl w:val="1"/>
                <w:numId w:val="28"/>
              </w:numPr>
              <w:rPr>
                <w:rFonts w:ascii="Times New Roman" w:hAnsi="Times New Roman"/>
                <w:color w:val="000000"/>
                <w:spacing w:val="-2"/>
              </w:rPr>
            </w:pPr>
            <w:r w:rsidRPr="001A5B21">
              <w:rPr>
                <w:rFonts w:ascii="Times New Roman" w:hAnsi="Times New Roman"/>
                <w:color w:val="000000"/>
                <w:spacing w:val="-2"/>
              </w:rPr>
              <w:t>zobowiązań beneficjenta w zakresie przestrzegania warunków umowy;</w:t>
            </w:r>
          </w:p>
          <w:p w:rsidR="00FA20D1" w:rsidRDefault="00FA20D1" w:rsidP="00F61A42">
            <w:pPr>
              <w:pStyle w:val="Akapitzlist"/>
              <w:numPr>
                <w:ilvl w:val="1"/>
                <w:numId w:val="28"/>
              </w:numPr>
              <w:tabs>
                <w:tab w:val="left" w:pos="318"/>
              </w:tabs>
              <w:spacing w:line="240" w:lineRule="auto"/>
              <w:jc w:val="both"/>
              <w:rPr>
                <w:rFonts w:ascii="Times New Roman" w:hAnsi="Times New Roman"/>
                <w:color w:val="000000"/>
                <w:spacing w:val="-2"/>
              </w:rPr>
            </w:pPr>
            <w:r>
              <w:rPr>
                <w:rFonts w:ascii="Times New Roman" w:hAnsi="Times New Roman"/>
                <w:color w:val="000000"/>
                <w:spacing w:val="-2"/>
              </w:rPr>
              <w:t>przechowywania treści poro</w:t>
            </w:r>
            <w:r w:rsidR="001A5B21">
              <w:rPr>
                <w:rFonts w:ascii="Times New Roman" w:hAnsi="Times New Roman"/>
                <w:color w:val="000000"/>
                <w:spacing w:val="-2"/>
              </w:rPr>
              <w:t>zumienia przez gminę i ministra;</w:t>
            </w:r>
          </w:p>
          <w:p w:rsidR="00FA20D1" w:rsidRDefault="00FA20D1" w:rsidP="00F61A42">
            <w:pPr>
              <w:pStyle w:val="Akapitzlist"/>
              <w:numPr>
                <w:ilvl w:val="1"/>
                <w:numId w:val="28"/>
              </w:numPr>
              <w:tabs>
                <w:tab w:val="left" w:pos="318"/>
              </w:tabs>
              <w:spacing w:line="240" w:lineRule="auto"/>
              <w:jc w:val="both"/>
              <w:rPr>
                <w:rFonts w:ascii="Times New Roman" w:hAnsi="Times New Roman"/>
                <w:color w:val="000000"/>
                <w:spacing w:val="-2"/>
              </w:rPr>
            </w:pPr>
            <w:r w:rsidRPr="00FA20D1">
              <w:rPr>
                <w:rFonts w:ascii="Times New Roman" w:hAnsi="Times New Roman"/>
                <w:color w:val="000000"/>
                <w:spacing w:val="-2"/>
              </w:rPr>
              <w:t>utrzymania przez gminę efektów przedsięwzięć niskoemisyjnych</w:t>
            </w:r>
            <w:r>
              <w:rPr>
                <w:rFonts w:ascii="Times New Roman" w:hAnsi="Times New Roman"/>
                <w:color w:val="000000"/>
                <w:spacing w:val="-2"/>
              </w:rPr>
              <w:t>.</w:t>
            </w:r>
          </w:p>
          <w:p w:rsidR="001C7683" w:rsidRPr="00FA20D1" w:rsidRDefault="001C7683" w:rsidP="00F61A42">
            <w:pPr>
              <w:pStyle w:val="Akapitzlist"/>
              <w:numPr>
                <w:ilvl w:val="0"/>
                <w:numId w:val="28"/>
              </w:numPr>
              <w:tabs>
                <w:tab w:val="left" w:pos="318"/>
              </w:tabs>
              <w:spacing w:line="240" w:lineRule="auto"/>
              <w:jc w:val="both"/>
              <w:rPr>
                <w:rFonts w:ascii="Times New Roman" w:hAnsi="Times New Roman"/>
                <w:color w:val="000000"/>
                <w:spacing w:val="-2"/>
              </w:rPr>
            </w:pPr>
            <w:r w:rsidRPr="00FA20D1">
              <w:rPr>
                <w:rFonts w:ascii="Times New Roman" w:hAnsi="Times New Roman"/>
                <w:color w:val="000000"/>
                <w:spacing w:val="-2"/>
              </w:rPr>
              <w:t>Rozszerzenie zakresu przedsięwzięcia niskoemisyjnego o:</w:t>
            </w:r>
          </w:p>
          <w:p w:rsidR="001C7683" w:rsidRDefault="001C7683" w:rsidP="00F61A42">
            <w:pPr>
              <w:pStyle w:val="Akapitzlist"/>
              <w:numPr>
                <w:ilvl w:val="1"/>
                <w:numId w:val="28"/>
              </w:numPr>
              <w:tabs>
                <w:tab w:val="left" w:pos="318"/>
              </w:tabs>
              <w:spacing w:line="240" w:lineRule="auto"/>
              <w:jc w:val="both"/>
              <w:rPr>
                <w:rFonts w:ascii="Times New Roman" w:hAnsi="Times New Roman"/>
                <w:color w:val="000000"/>
                <w:spacing w:val="-2"/>
              </w:rPr>
            </w:pPr>
            <w:r w:rsidRPr="001C7683">
              <w:rPr>
                <w:rFonts w:ascii="Times New Roman" w:hAnsi="Times New Roman"/>
                <w:color w:val="000000"/>
                <w:spacing w:val="-2"/>
              </w:rPr>
              <w:t>przyłączenie budynku do sieci elektroenergetycznej</w:t>
            </w:r>
            <w:r>
              <w:rPr>
                <w:rFonts w:ascii="Times New Roman" w:hAnsi="Times New Roman"/>
                <w:color w:val="000000"/>
                <w:spacing w:val="-2"/>
              </w:rPr>
              <w:t>;</w:t>
            </w:r>
          </w:p>
          <w:p w:rsidR="001C7683" w:rsidRDefault="001C7683" w:rsidP="00F61A42">
            <w:pPr>
              <w:pStyle w:val="Akapitzlist"/>
              <w:numPr>
                <w:ilvl w:val="1"/>
                <w:numId w:val="28"/>
              </w:numPr>
              <w:tabs>
                <w:tab w:val="left" w:pos="318"/>
              </w:tabs>
              <w:spacing w:line="240" w:lineRule="auto"/>
              <w:jc w:val="both"/>
              <w:rPr>
                <w:rFonts w:ascii="Times New Roman" w:hAnsi="Times New Roman"/>
                <w:color w:val="000000"/>
                <w:spacing w:val="-2"/>
              </w:rPr>
            </w:pPr>
            <w:r w:rsidRPr="001C7683">
              <w:rPr>
                <w:rFonts w:ascii="Times New Roman" w:hAnsi="Times New Roman"/>
                <w:color w:val="000000"/>
                <w:spacing w:val="-2"/>
              </w:rPr>
              <w:t>modernizację istniejącego przyłącza ciepłowniczego, gaz</w:t>
            </w:r>
            <w:r>
              <w:rPr>
                <w:rFonts w:ascii="Times New Roman" w:hAnsi="Times New Roman"/>
                <w:color w:val="000000"/>
                <w:spacing w:val="-2"/>
              </w:rPr>
              <w:t>owego lub elektroenergetycznego;</w:t>
            </w:r>
          </w:p>
          <w:p w:rsidR="001C7683" w:rsidRDefault="001C7683" w:rsidP="00F61A42">
            <w:pPr>
              <w:pStyle w:val="Akapitzlist"/>
              <w:numPr>
                <w:ilvl w:val="1"/>
                <w:numId w:val="28"/>
              </w:numPr>
              <w:tabs>
                <w:tab w:val="left" w:pos="318"/>
              </w:tabs>
              <w:spacing w:line="240" w:lineRule="auto"/>
              <w:jc w:val="both"/>
              <w:rPr>
                <w:rFonts w:ascii="Times New Roman" w:hAnsi="Times New Roman"/>
                <w:color w:val="000000"/>
                <w:spacing w:val="-2"/>
              </w:rPr>
            </w:pPr>
            <w:r w:rsidRPr="001C7683">
              <w:rPr>
                <w:rFonts w:ascii="Times New Roman" w:hAnsi="Times New Roman"/>
                <w:color w:val="000000"/>
                <w:spacing w:val="-2"/>
              </w:rPr>
              <w:t xml:space="preserve">zapewnienie budynkowi dostępu </w:t>
            </w:r>
            <w:r>
              <w:rPr>
                <w:rFonts w:ascii="Times New Roman" w:hAnsi="Times New Roman"/>
                <w:color w:val="000000"/>
                <w:spacing w:val="-2"/>
              </w:rPr>
              <w:t xml:space="preserve">do energii </w:t>
            </w:r>
            <w:r w:rsidRPr="001C7683">
              <w:rPr>
                <w:rFonts w:ascii="Times New Roman" w:hAnsi="Times New Roman"/>
                <w:color w:val="000000"/>
                <w:spacing w:val="-2"/>
              </w:rPr>
              <w:t>z instalacji OZE (wraz z likwidacją źródła niespełniającego standardów niskoemisyjnych)</w:t>
            </w:r>
            <w:r>
              <w:rPr>
                <w:rFonts w:ascii="Times New Roman" w:hAnsi="Times New Roman"/>
                <w:color w:val="000000"/>
                <w:spacing w:val="-2"/>
              </w:rPr>
              <w:t>.</w:t>
            </w:r>
          </w:p>
          <w:p w:rsidR="00C753F2" w:rsidRDefault="001A5B21" w:rsidP="00F61A42">
            <w:pPr>
              <w:pStyle w:val="Akapitzlist"/>
              <w:numPr>
                <w:ilvl w:val="0"/>
                <w:numId w:val="28"/>
              </w:numPr>
              <w:tabs>
                <w:tab w:val="left" w:pos="318"/>
              </w:tabs>
              <w:spacing w:line="240" w:lineRule="auto"/>
              <w:jc w:val="both"/>
              <w:rPr>
                <w:rFonts w:ascii="Times New Roman" w:hAnsi="Times New Roman"/>
                <w:color w:val="000000"/>
                <w:spacing w:val="-2"/>
              </w:rPr>
            </w:pPr>
            <w:r>
              <w:rPr>
                <w:rFonts w:ascii="Times New Roman" w:hAnsi="Times New Roman"/>
                <w:color w:val="000000"/>
                <w:spacing w:val="-2"/>
              </w:rPr>
              <w:t xml:space="preserve"> </w:t>
            </w:r>
            <w:r w:rsidR="00C753F2" w:rsidRPr="00C753F2">
              <w:rPr>
                <w:rFonts w:ascii="Times New Roman" w:hAnsi="Times New Roman"/>
                <w:color w:val="000000"/>
                <w:spacing w:val="-2"/>
              </w:rPr>
              <w:t>Dopuszczenie do możliwości realizacji przedsięwzięć niskoemisyjnych również w budynkach będących w zasobach mieszkaniowych gminy</w:t>
            </w:r>
            <w:r>
              <w:rPr>
                <w:rFonts w:ascii="Times New Roman" w:hAnsi="Times New Roman"/>
                <w:color w:val="000000"/>
                <w:spacing w:val="-2"/>
              </w:rPr>
              <w:t>.</w:t>
            </w:r>
          </w:p>
          <w:p w:rsidR="001C7683" w:rsidRDefault="001C7683" w:rsidP="00F61A42">
            <w:pPr>
              <w:pStyle w:val="Akapitzlist"/>
              <w:numPr>
                <w:ilvl w:val="0"/>
                <w:numId w:val="28"/>
              </w:numPr>
              <w:tabs>
                <w:tab w:val="left" w:pos="176"/>
              </w:tabs>
              <w:spacing w:line="240" w:lineRule="auto"/>
              <w:jc w:val="both"/>
              <w:rPr>
                <w:rFonts w:ascii="Times New Roman" w:hAnsi="Times New Roman"/>
                <w:color w:val="000000"/>
                <w:spacing w:val="-2"/>
              </w:rPr>
            </w:pPr>
            <w:r w:rsidRPr="001C7683">
              <w:rPr>
                <w:rFonts w:ascii="Times New Roman" w:hAnsi="Times New Roman"/>
                <w:color w:val="000000"/>
                <w:spacing w:val="-2"/>
              </w:rPr>
              <w:t>Wyłączenie z możliwości wymiany/likwidacji kotłów na paliwa stałe klasy 5</w:t>
            </w:r>
            <w:r>
              <w:rPr>
                <w:rFonts w:ascii="Times New Roman" w:hAnsi="Times New Roman"/>
                <w:color w:val="000000"/>
                <w:spacing w:val="-2"/>
              </w:rPr>
              <w:t>.</w:t>
            </w:r>
          </w:p>
          <w:p w:rsidR="00C753F2" w:rsidRDefault="00C753F2" w:rsidP="00F61A42">
            <w:pPr>
              <w:pStyle w:val="Akapitzlist"/>
              <w:numPr>
                <w:ilvl w:val="0"/>
                <w:numId w:val="28"/>
              </w:numPr>
              <w:tabs>
                <w:tab w:val="left" w:pos="318"/>
                <w:tab w:val="left" w:pos="460"/>
              </w:tabs>
              <w:spacing w:line="240" w:lineRule="auto"/>
              <w:jc w:val="both"/>
              <w:rPr>
                <w:rFonts w:ascii="Times New Roman" w:hAnsi="Times New Roman"/>
                <w:color w:val="000000"/>
                <w:spacing w:val="-2"/>
              </w:rPr>
            </w:pPr>
            <w:r w:rsidRPr="00C753F2">
              <w:rPr>
                <w:rFonts w:ascii="Times New Roman" w:hAnsi="Times New Roman"/>
                <w:color w:val="000000"/>
                <w:spacing w:val="-2"/>
              </w:rPr>
              <w:t>Rozszerzenie katalogu kosztów kwalifikowanych w Programie</w:t>
            </w:r>
            <w:r>
              <w:rPr>
                <w:rFonts w:ascii="Times New Roman" w:hAnsi="Times New Roman"/>
                <w:color w:val="000000"/>
                <w:spacing w:val="-2"/>
              </w:rPr>
              <w:t xml:space="preserve"> o:</w:t>
            </w:r>
          </w:p>
          <w:p w:rsidR="00C753F2" w:rsidRDefault="00C753F2" w:rsidP="00F61A42">
            <w:pPr>
              <w:pStyle w:val="Akapitzlist"/>
              <w:numPr>
                <w:ilvl w:val="1"/>
                <w:numId w:val="28"/>
              </w:numPr>
              <w:tabs>
                <w:tab w:val="left" w:pos="318"/>
              </w:tabs>
              <w:spacing w:line="240" w:lineRule="auto"/>
              <w:jc w:val="both"/>
              <w:rPr>
                <w:rFonts w:ascii="Times New Roman" w:hAnsi="Times New Roman"/>
                <w:color w:val="000000"/>
                <w:spacing w:val="-2"/>
              </w:rPr>
            </w:pPr>
            <w:r w:rsidRPr="00C753F2">
              <w:rPr>
                <w:rFonts w:ascii="Times New Roman" w:hAnsi="Times New Roman"/>
                <w:color w:val="000000"/>
                <w:spacing w:val="-2"/>
              </w:rPr>
              <w:t>koszty mikroinstalacji OZE w rozumieniu ustawy</w:t>
            </w:r>
            <w:r w:rsidR="000244E6">
              <w:rPr>
                <w:rFonts w:ascii="Times New Roman" w:hAnsi="Times New Roman"/>
                <w:color w:val="000000"/>
                <w:spacing w:val="-2"/>
              </w:rPr>
              <w:t xml:space="preserve"> </w:t>
            </w:r>
            <w:r w:rsidRPr="00C753F2">
              <w:rPr>
                <w:rFonts w:ascii="Times New Roman" w:hAnsi="Times New Roman"/>
                <w:color w:val="000000"/>
                <w:spacing w:val="-2"/>
              </w:rPr>
              <w:t xml:space="preserve"> z dnia 20 lutego 2015 r. o odnawialnych źródłach energii</w:t>
            </w:r>
            <w:r>
              <w:rPr>
                <w:rFonts w:ascii="Times New Roman" w:hAnsi="Times New Roman"/>
                <w:color w:val="000000"/>
                <w:spacing w:val="-2"/>
              </w:rPr>
              <w:t>;</w:t>
            </w:r>
          </w:p>
          <w:p w:rsidR="00C753F2" w:rsidRDefault="00C753F2" w:rsidP="00F61A42">
            <w:pPr>
              <w:pStyle w:val="Akapitzlist"/>
              <w:numPr>
                <w:ilvl w:val="1"/>
                <w:numId w:val="28"/>
              </w:numPr>
              <w:tabs>
                <w:tab w:val="left" w:pos="318"/>
              </w:tabs>
              <w:spacing w:line="240" w:lineRule="auto"/>
              <w:jc w:val="both"/>
              <w:rPr>
                <w:rFonts w:ascii="Times New Roman" w:hAnsi="Times New Roman"/>
                <w:color w:val="000000"/>
                <w:spacing w:val="-2"/>
              </w:rPr>
            </w:pPr>
            <w:r w:rsidRPr="00C753F2">
              <w:rPr>
                <w:rFonts w:ascii="Times New Roman" w:hAnsi="Times New Roman"/>
                <w:color w:val="000000"/>
                <w:spacing w:val="-2"/>
              </w:rPr>
              <w:t>koszty zapewnienia dostępu do energii z OZE i pompy ciepła w tym m.in. w oparciu o urządzenia stanowiące własność gminy</w:t>
            </w:r>
            <w:r w:rsidR="001A5B21">
              <w:rPr>
                <w:rFonts w:ascii="Times New Roman" w:hAnsi="Times New Roman"/>
                <w:color w:val="000000"/>
                <w:spacing w:val="-2"/>
              </w:rPr>
              <w:t>;</w:t>
            </w:r>
          </w:p>
          <w:p w:rsidR="00C753F2" w:rsidRDefault="00C753F2" w:rsidP="00F61A42">
            <w:pPr>
              <w:pStyle w:val="Akapitzlist"/>
              <w:numPr>
                <w:ilvl w:val="1"/>
                <w:numId w:val="28"/>
              </w:numPr>
              <w:tabs>
                <w:tab w:val="left" w:pos="318"/>
              </w:tabs>
              <w:spacing w:line="240" w:lineRule="auto"/>
              <w:jc w:val="both"/>
              <w:rPr>
                <w:rFonts w:ascii="Times New Roman" w:hAnsi="Times New Roman"/>
                <w:color w:val="000000"/>
                <w:spacing w:val="-2"/>
              </w:rPr>
            </w:pPr>
            <w:r w:rsidRPr="00C753F2">
              <w:rPr>
                <w:rFonts w:ascii="Times New Roman" w:hAnsi="Times New Roman"/>
                <w:color w:val="000000"/>
                <w:spacing w:val="-2"/>
              </w:rPr>
              <w:t>koszty instalacji źródeł ciepła zasilanych energią elektryczną</w:t>
            </w:r>
            <w:r w:rsidR="001A5B21">
              <w:rPr>
                <w:rFonts w:ascii="Times New Roman" w:hAnsi="Times New Roman"/>
                <w:color w:val="000000"/>
                <w:spacing w:val="-2"/>
              </w:rPr>
              <w:t>;</w:t>
            </w:r>
          </w:p>
          <w:p w:rsidR="00C753F2" w:rsidRDefault="00C753F2" w:rsidP="00F61A42">
            <w:pPr>
              <w:pStyle w:val="Akapitzlist"/>
              <w:numPr>
                <w:ilvl w:val="1"/>
                <w:numId w:val="28"/>
              </w:numPr>
              <w:tabs>
                <w:tab w:val="left" w:pos="318"/>
              </w:tabs>
              <w:spacing w:line="240" w:lineRule="auto"/>
              <w:jc w:val="both"/>
              <w:rPr>
                <w:rFonts w:ascii="Times New Roman" w:hAnsi="Times New Roman"/>
                <w:color w:val="000000"/>
                <w:spacing w:val="-2"/>
              </w:rPr>
            </w:pPr>
            <w:r w:rsidRPr="00C753F2">
              <w:rPr>
                <w:rFonts w:ascii="Times New Roman" w:hAnsi="Times New Roman"/>
                <w:color w:val="000000"/>
                <w:spacing w:val="-2"/>
              </w:rPr>
              <w:t xml:space="preserve">koszty innych prac </w:t>
            </w:r>
            <w:r w:rsidR="001A5B21">
              <w:rPr>
                <w:rFonts w:ascii="Times New Roman" w:hAnsi="Times New Roman"/>
                <w:color w:val="000000"/>
                <w:spacing w:val="-2"/>
              </w:rPr>
              <w:t>budowlanych</w:t>
            </w:r>
            <w:r w:rsidRPr="00C753F2">
              <w:rPr>
                <w:rFonts w:ascii="Times New Roman" w:hAnsi="Times New Roman"/>
                <w:color w:val="000000"/>
                <w:spacing w:val="-2"/>
              </w:rPr>
              <w:t xml:space="preserve"> niezbędnych do realizacji przedsięwzięć związanych z efektywnością energetyczną, jednakże stanowiące nie więcej niż 20% łącznych kosztów</w:t>
            </w:r>
            <w:r>
              <w:rPr>
                <w:rFonts w:ascii="Times New Roman" w:hAnsi="Times New Roman"/>
                <w:color w:val="000000"/>
                <w:spacing w:val="-2"/>
              </w:rPr>
              <w:t>;</w:t>
            </w:r>
          </w:p>
          <w:p w:rsidR="00C753F2" w:rsidRDefault="00C753F2" w:rsidP="00F61A42">
            <w:pPr>
              <w:pStyle w:val="Akapitzlist"/>
              <w:numPr>
                <w:ilvl w:val="1"/>
                <w:numId w:val="28"/>
              </w:numPr>
              <w:tabs>
                <w:tab w:val="left" w:pos="318"/>
              </w:tabs>
              <w:spacing w:line="240" w:lineRule="auto"/>
              <w:jc w:val="both"/>
              <w:rPr>
                <w:rFonts w:ascii="Times New Roman" w:hAnsi="Times New Roman"/>
                <w:color w:val="000000"/>
                <w:spacing w:val="-2"/>
              </w:rPr>
            </w:pPr>
            <w:r w:rsidRPr="00C753F2">
              <w:rPr>
                <w:rFonts w:ascii="Times New Roman" w:hAnsi="Times New Roman"/>
                <w:color w:val="000000"/>
                <w:spacing w:val="-2"/>
              </w:rPr>
              <w:t>koszty serwisu</w:t>
            </w:r>
            <w:r w:rsidR="009F78EA">
              <w:rPr>
                <w:rFonts w:ascii="Times New Roman" w:hAnsi="Times New Roman"/>
                <w:color w:val="000000"/>
                <w:spacing w:val="-2"/>
              </w:rPr>
              <w:t>, ubezpieczenia</w:t>
            </w:r>
            <w:r w:rsidRPr="00C753F2">
              <w:rPr>
                <w:rFonts w:ascii="Times New Roman" w:hAnsi="Times New Roman"/>
                <w:color w:val="000000"/>
                <w:spacing w:val="-2"/>
              </w:rPr>
              <w:t xml:space="preserve"> i konserwacji w okresie utrzymania efektów przedsięwzięć niskoemisyjnych</w:t>
            </w:r>
            <w:r>
              <w:rPr>
                <w:rFonts w:ascii="Times New Roman" w:hAnsi="Times New Roman"/>
                <w:color w:val="000000"/>
                <w:spacing w:val="-2"/>
              </w:rPr>
              <w:t>;</w:t>
            </w:r>
          </w:p>
          <w:p w:rsidR="00C753F2" w:rsidRDefault="00C753F2" w:rsidP="00F61A42">
            <w:pPr>
              <w:pStyle w:val="Akapitzlist"/>
              <w:numPr>
                <w:ilvl w:val="1"/>
                <w:numId w:val="28"/>
              </w:numPr>
              <w:tabs>
                <w:tab w:val="left" w:pos="318"/>
              </w:tabs>
              <w:spacing w:line="240" w:lineRule="auto"/>
              <w:jc w:val="both"/>
              <w:rPr>
                <w:rFonts w:ascii="Times New Roman" w:hAnsi="Times New Roman"/>
                <w:color w:val="000000"/>
                <w:spacing w:val="-2"/>
              </w:rPr>
            </w:pPr>
            <w:r w:rsidRPr="00C753F2">
              <w:rPr>
                <w:rFonts w:ascii="Times New Roman" w:hAnsi="Times New Roman"/>
                <w:color w:val="000000"/>
                <w:spacing w:val="-2"/>
              </w:rPr>
              <w:t>koszty nadzoru inwestorskiego</w:t>
            </w:r>
            <w:r>
              <w:rPr>
                <w:rFonts w:ascii="Times New Roman" w:hAnsi="Times New Roman"/>
                <w:color w:val="000000"/>
                <w:spacing w:val="-2"/>
              </w:rPr>
              <w:t>;</w:t>
            </w:r>
          </w:p>
          <w:p w:rsidR="00C753F2" w:rsidRDefault="00C753F2" w:rsidP="00F61A42">
            <w:pPr>
              <w:pStyle w:val="Akapitzlist"/>
              <w:numPr>
                <w:ilvl w:val="1"/>
                <w:numId w:val="28"/>
              </w:numPr>
              <w:tabs>
                <w:tab w:val="left" w:pos="318"/>
              </w:tabs>
              <w:spacing w:line="240" w:lineRule="auto"/>
              <w:jc w:val="both"/>
              <w:rPr>
                <w:rFonts w:ascii="Times New Roman" w:hAnsi="Times New Roman"/>
                <w:color w:val="000000"/>
                <w:spacing w:val="-2"/>
              </w:rPr>
            </w:pPr>
            <w:r w:rsidRPr="00C753F2">
              <w:rPr>
                <w:rFonts w:ascii="Times New Roman" w:hAnsi="Times New Roman"/>
                <w:color w:val="000000"/>
                <w:spacing w:val="-2"/>
              </w:rPr>
              <w:t xml:space="preserve">koszty przygotowania wniosku w okresie do </w:t>
            </w:r>
            <w:r w:rsidR="009F78EA">
              <w:rPr>
                <w:rFonts w:ascii="Times New Roman" w:hAnsi="Times New Roman"/>
                <w:color w:val="000000"/>
                <w:spacing w:val="-2"/>
              </w:rPr>
              <w:t>9</w:t>
            </w:r>
            <w:r w:rsidRPr="00C753F2">
              <w:rPr>
                <w:rFonts w:ascii="Times New Roman" w:hAnsi="Times New Roman"/>
                <w:color w:val="000000"/>
                <w:spacing w:val="-2"/>
              </w:rPr>
              <w:t xml:space="preserve"> miesięcy przed datą zawarcie porozumienia</w:t>
            </w:r>
            <w:r w:rsidR="001A5B21">
              <w:rPr>
                <w:rFonts w:ascii="Times New Roman" w:hAnsi="Times New Roman"/>
                <w:color w:val="000000"/>
                <w:spacing w:val="-2"/>
              </w:rPr>
              <w:t>.</w:t>
            </w:r>
          </w:p>
          <w:p w:rsidR="00C753F2" w:rsidRDefault="00C753F2" w:rsidP="00F61A42">
            <w:pPr>
              <w:pStyle w:val="Akapitzlist"/>
              <w:numPr>
                <w:ilvl w:val="0"/>
                <w:numId w:val="28"/>
              </w:numPr>
              <w:tabs>
                <w:tab w:val="left" w:pos="318"/>
                <w:tab w:val="left" w:pos="460"/>
              </w:tabs>
              <w:spacing w:line="240" w:lineRule="auto"/>
              <w:jc w:val="both"/>
              <w:rPr>
                <w:rFonts w:ascii="Times New Roman" w:hAnsi="Times New Roman"/>
                <w:color w:val="000000"/>
                <w:spacing w:val="-2"/>
              </w:rPr>
            </w:pPr>
            <w:r w:rsidRPr="00C753F2">
              <w:rPr>
                <w:rFonts w:ascii="Times New Roman" w:hAnsi="Times New Roman"/>
                <w:color w:val="000000"/>
                <w:spacing w:val="-2"/>
              </w:rPr>
              <w:t>W uzasadnionych przypadkach (np. zły stan techniczny budynku) umożliwienie gminom nabywania urządzeń i instalacji jako własny środek trwały i udostępniania ich beneficjentowi</w:t>
            </w:r>
            <w:r w:rsidR="001A5B21">
              <w:rPr>
                <w:rFonts w:ascii="Times New Roman" w:hAnsi="Times New Roman"/>
                <w:color w:val="000000"/>
                <w:spacing w:val="-2"/>
              </w:rPr>
              <w:t>.</w:t>
            </w:r>
          </w:p>
          <w:p w:rsidR="00C753F2" w:rsidRDefault="00C753F2" w:rsidP="00F61A42">
            <w:pPr>
              <w:pStyle w:val="Akapitzlist"/>
              <w:numPr>
                <w:ilvl w:val="0"/>
                <w:numId w:val="28"/>
              </w:numPr>
              <w:tabs>
                <w:tab w:val="left" w:pos="318"/>
                <w:tab w:val="left" w:pos="460"/>
              </w:tabs>
              <w:spacing w:line="240" w:lineRule="auto"/>
              <w:jc w:val="both"/>
              <w:rPr>
                <w:rFonts w:ascii="Times New Roman" w:hAnsi="Times New Roman"/>
                <w:color w:val="000000"/>
                <w:spacing w:val="-2"/>
              </w:rPr>
            </w:pPr>
            <w:r>
              <w:rPr>
                <w:rFonts w:ascii="Times New Roman" w:hAnsi="Times New Roman"/>
                <w:color w:val="000000"/>
                <w:spacing w:val="-2"/>
              </w:rPr>
              <w:t>Zmiany warunków udziału mieszkańców w Programie przez:</w:t>
            </w:r>
          </w:p>
          <w:p w:rsidR="00C753F2" w:rsidRPr="00FB1A75" w:rsidRDefault="00FA20D1" w:rsidP="001A24C4">
            <w:pPr>
              <w:pStyle w:val="Akapitzlist"/>
              <w:numPr>
                <w:ilvl w:val="1"/>
                <w:numId w:val="28"/>
              </w:numPr>
              <w:tabs>
                <w:tab w:val="left" w:pos="318"/>
              </w:tabs>
              <w:spacing w:line="240" w:lineRule="auto"/>
              <w:jc w:val="both"/>
              <w:rPr>
                <w:rFonts w:ascii="Times New Roman" w:hAnsi="Times New Roman"/>
                <w:color w:val="000000"/>
                <w:spacing w:val="-2"/>
              </w:rPr>
            </w:pPr>
            <w:r w:rsidRPr="00375ED0">
              <w:rPr>
                <w:rFonts w:ascii="Times New Roman" w:hAnsi="Times New Roman"/>
                <w:color w:val="000000"/>
                <w:spacing w:val="-2"/>
              </w:rPr>
              <w:t xml:space="preserve">wyłączenie </w:t>
            </w:r>
            <w:r w:rsidR="00375ED0" w:rsidRPr="00375ED0">
              <w:rPr>
                <w:rFonts w:ascii="Times New Roman" w:hAnsi="Times New Roman"/>
                <w:color w:val="000000"/>
                <w:spacing w:val="-2"/>
              </w:rPr>
              <w:t xml:space="preserve">z kryterium majątkowego wartości nieruchomości </w:t>
            </w:r>
            <w:r w:rsidR="0089686E">
              <w:rPr>
                <w:rFonts w:ascii="Times New Roman" w:hAnsi="Times New Roman"/>
                <w:color w:val="000000"/>
                <w:spacing w:val="-2"/>
              </w:rPr>
              <w:t xml:space="preserve">objętej przedsięwzięciem niskoemisyjnym </w:t>
            </w:r>
            <w:r w:rsidR="00375ED0" w:rsidRPr="00375ED0">
              <w:rPr>
                <w:rFonts w:ascii="Times New Roman" w:hAnsi="Times New Roman"/>
                <w:color w:val="000000"/>
                <w:spacing w:val="-2"/>
              </w:rPr>
              <w:t>oraz jego obniżenie do kwoty 53 tys.</w:t>
            </w:r>
            <w:r w:rsidR="00375ED0">
              <w:rPr>
                <w:rFonts w:ascii="Times New Roman" w:hAnsi="Times New Roman"/>
                <w:color w:val="000000"/>
                <w:spacing w:val="-2"/>
              </w:rPr>
              <w:t xml:space="preserve"> zł</w:t>
            </w:r>
            <w:r w:rsidR="001A24C4">
              <w:rPr>
                <w:rFonts w:ascii="Times New Roman" w:hAnsi="Times New Roman"/>
                <w:color w:val="000000"/>
                <w:spacing w:val="-2"/>
              </w:rPr>
              <w:t>. Zgodnie</w:t>
            </w:r>
            <w:r w:rsidR="001A24C4" w:rsidRPr="00FB1A75">
              <w:rPr>
                <w:rFonts w:ascii="Times New Roman" w:hAnsi="Times New Roman"/>
                <w:color w:val="000000"/>
                <w:spacing w:val="-2"/>
              </w:rPr>
              <w:t xml:space="preserve"> z raportem Narodowego Banku Polskiego</w:t>
            </w:r>
            <w:r w:rsidR="001A24C4">
              <w:rPr>
                <w:rFonts w:ascii="Times New Roman" w:hAnsi="Times New Roman"/>
                <w:color w:val="000000"/>
                <w:spacing w:val="-2"/>
              </w:rPr>
              <w:t xml:space="preserve"> „</w:t>
            </w:r>
            <w:r w:rsidR="001A24C4" w:rsidRPr="00FB1A75">
              <w:rPr>
                <w:rFonts w:ascii="Times New Roman" w:hAnsi="Times New Roman"/>
                <w:color w:val="000000"/>
                <w:spacing w:val="-2"/>
              </w:rPr>
              <w:t>Zasobność gospodarstw domowych w Polsce – Raport BZGD 2016</w:t>
            </w:r>
            <w:r w:rsidR="001A24C4">
              <w:rPr>
                <w:rFonts w:ascii="Times New Roman" w:hAnsi="Times New Roman"/>
                <w:color w:val="000000"/>
                <w:spacing w:val="-2"/>
              </w:rPr>
              <w:t>”</w:t>
            </w:r>
            <w:r w:rsidR="001A24C4" w:rsidRPr="00FB1A75">
              <w:rPr>
                <w:rFonts w:ascii="Times New Roman" w:hAnsi="Times New Roman"/>
                <w:color w:val="000000"/>
                <w:spacing w:val="-2"/>
              </w:rPr>
              <w:t>, średnia wartość majątku polskich gospodarstw domowych wynosi 417,3 tys. zł, co jest zbieżne z dotychczas przyjętym w Programie progiem. Jednakże analizując ponownie kryterium majątkowe, w tym uwagi napływające z gmin, wyciągnięto wnioski, że jest to poważna bariera dla gmin charakteryzujących się wysokimi cenami działek budowlanych (rynkowa cena działki uniemożliwia potencjalnym beneficjentom możliwość spełnienia obecnie obowiązującego w Programie kryterium). Zakładając średnią powierzchnię działki budowlanej w wymiarze 800 m</w:t>
            </w:r>
            <w:r w:rsidR="001A24C4" w:rsidRPr="00FB1A75">
              <w:rPr>
                <w:rFonts w:ascii="Times New Roman" w:hAnsi="Times New Roman"/>
                <w:color w:val="000000"/>
                <w:spacing w:val="-2"/>
                <w:vertAlign w:val="superscript"/>
              </w:rPr>
              <w:t>2</w:t>
            </w:r>
            <w:r w:rsidR="001A24C4" w:rsidRPr="00FB1A75">
              <w:rPr>
                <w:rFonts w:ascii="Times New Roman" w:hAnsi="Times New Roman"/>
                <w:color w:val="000000"/>
                <w:spacing w:val="-2"/>
              </w:rPr>
              <w:t xml:space="preserve">, należy stwierdzić, że sama tylko wartość działki budowlanej jest bliska lub przekracza ustanowione w Programie kryterium w następujących miastach/aglomeracjach: Kraków, Warszawa, Gdańsk i Poznań. W związku z powyższym do proponowanego kryterium majątkowego </w:t>
            </w:r>
            <w:r w:rsidR="001A24C4" w:rsidRPr="00FB1A75">
              <w:rPr>
                <w:rFonts w:ascii="Times New Roman" w:hAnsi="Times New Roman"/>
                <w:color w:val="000000"/>
                <w:spacing w:val="-2"/>
              </w:rPr>
              <w:lastRenderedPageBreak/>
              <w:t>zaliczone byłyby jedynie aktywa ruchome i pieniężne oraz inne nieruchomości nie objęte przedsięwzięciem niskoemisyjnym.</w:t>
            </w:r>
            <w:r w:rsidR="001A24C4">
              <w:rPr>
                <w:rFonts w:ascii="Times New Roman" w:hAnsi="Times New Roman"/>
                <w:color w:val="000000"/>
                <w:spacing w:val="-2"/>
              </w:rPr>
              <w:t xml:space="preserve"> </w:t>
            </w:r>
            <w:r w:rsidR="001A24C4" w:rsidRPr="00FB1A75">
              <w:rPr>
                <w:rFonts w:ascii="Times New Roman" w:hAnsi="Times New Roman"/>
                <w:color w:val="000000"/>
                <w:spacing w:val="-2"/>
              </w:rPr>
              <w:t>Biorąc pod uwagę, że dotychczasowe kryterium było oparte na wielokrotności średniej wartości przedsięwzięcia niskoemisyjnego, ograniczono go do minimum, tzn. jednokrotności tej liczby</w:t>
            </w:r>
            <w:r w:rsidR="001A24C4">
              <w:rPr>
                <w:rFonts w:ascii="Times New Roman" w:hAnsi="Times New Roman"/>
                <w:color w:val="000000"/>
                <w:spacing w:val="-2"/>
              </w:rPr>
              <w:t>;</w:t>
            </w:r>
          </w:p>
          <w:p w:rsidR="00375ED0" w:rsidRDefault="00FA20D1" w:rsidP="00F61A42">
            <w:pPr>
              <w:pStyle w:val="Akapitzlist"/>
              <w:numPr>
                <w:ilvl w:val="1"/>
                <w:numId w:val="28"/>
              </w:numPr>
              <w:tabs>
                <w:tab w:val="left" w:pos="318"/>
              </w:tabs>
              <w:spacing w:line="240" w:lineRule="auto"/>
              <w:jc w:val="both"/>
              <w:rPr>
                <w:rFonts w:ascii="Times New Roman" w:hAnsi="Times New Roman"/>
                <w:color w:val="000000"/>
                <w:spacing w:val="-2"/>
              </w:rPr>
            </w:pPr>
            <w:r w:rsidRPr="00375ED0">
              <w:rPr>
                <w:rFonts w:ascii="Times New Roman" w:hAnsi="Times New Roman"/>
                <w:color w:val="000000"/>
                <w:spacing w:val="-2"/>
              </w:rPr>
              <w:t xml:space="preserve">wprowadzenie </w:t>
            </w:r>
            <w:r w:rsidR="00375ED0" w:rsidRPr="00375ED0">
              <w:rPr>
                <w:rFonts w:ascii="Times New Roman" w:hAnsi="Times New Roman"/>
                <w:color w:val="000000"/>
                <w:spacing w:val="-2"/>
              </w:rPr>
              <w:t>odpowiedzialności karnej za składanie fałszywych zeznań dot. dochodu i majątku</w:t>
            </w:r>
            <w:r w:rsidR="00375ED0">
              <w:rPr>
                <w:rFonts w:ascii="Times New Roman" w:hAnsi="Times New Roman"/>
                <w:color w:val="000000"/>
                <w:spacing w:val="-2"/>
              </w:rPr>
              <w:t>.</w:t>
            </w:r>
          </w:p>
          <w:p w:rsidR="00375ED0" w:rsidRDefault="00375ED0" w:rsidP="00F61A42">
            <w:pPr>
              <w:pStyle w:val="Akapitzlist"/>
              <w:numPr>
                <w:ilvl w:val="0"/>
                <w:numId w:val="28"/>
              </w:numPr>
              <w:tabs>
                <w:tab w:val="left" w:pos="318"/>
                <w:tab w:val="left" w:pos="460"/>
              </w:tabs>
              <w:spacing w:line="240" w:lineRule="auto"/>
              <w:jc w:val="both"/>
              <w:rPr>
                <w:rFonts w:ascii="Times New Roman" w:hAnsi="Times New Roman"/>
                <w:color w:val="000000"/>
                <w:spacing w:val="-2"/>
              </w:rPr>
            </w:pPr>
            <w:r>
              <w:rPr>
                <w:rFonts w:ascii="Times New Roman" w:hAnsi="Times New Roman"/>
                <w:color w:val="000000"/>
                <w:spacing w:val="-2"/>
              </w:rPr>
              <w:t>Wyposażenie gmin w narzędzia umożliwiające weryfikację danych osób ubiegających się do Programu:</w:t>
            </w:r>
          </w:p>
          <w:p w:rsidR="009F78EA" w:rsidRDefault="00DE194E" w:rsidP="00DF6255">
            <w:pPr>
              <w:pStyle w:val="Akapitzlist"/>
              <w:numPr>
                <w:ilvl w:val="1"/>
                <w:numId w:val="28"/>
              </w:numPr>
              <w:tabs>
                <w:tab w:val="left" w:pos="318"/>
              </w:tabs>
              <w:spacing w:line="240" w:lineRule="auto"/>
              <w:jc w:val="both"/>
              <w:rPr>
                <w:rFonts w:ascii="Times New Roman" w:hAnsi="Times New Roman"/>
                <w:color w:val="000000"/>
                <w:spacing w:val="-2"/>
              </w:rPr>
            </w:pPr>
            <w:r w:rsidRPr="00DE194E">
              <w:rPr>
                <w:rFonts w:ascii="Times New Roman" w:hAnsi="Times New Roman"/>
                <w:color w:val="000000"/>
                <w:spacing w:val="-2"/>
              </w:rPr>
              <w:t xml:space="preserve">wprowadzenie </w:t>
            </w:r>
            <w:r w:rsidR="009F78EA" w:rsidRPr="009F78EA">
              <w:rPr>
                <w:rFonts w:ascii="Times New Roman" w:hAnsi="Times New Roman"/>
                <w:color w:val="000000"/>
                <w:spacing w:val="-2"/>
              </w:rPr>
              <w:t>wniosku o zawarcie umowy na realizację przedsięwzięcia niskoemisyjnego</w:t>
            </w:r>
            <w:r w:rsidRPr="00DE194E">
              <w:rPr>
                <w:rFonts w:ascii="Times New Roman" w:hAnsi="Times New Roman"/>
                <w:color w:val="000000"/>
                <w:spacing w:val="-2"/>
              </w:rPr>
              <w:t>,</w:t>
            </w:r>
            <w:r w:rsidR="009F78EA">
              <w:rPr>
                <w:rFonts w:ascii="Times New Roman" w:hAnsi="Times New Roman"/>
                <w:color w:val="000000"/>
                <w:spacing w:val="-2"/>
              </w:rPr>
              <w:t>;</w:t>
            </w:r>
          </w:p>
          <w:p w:rsidR="009F78EA" w:rsidRPr="009F78EA" w:rsidRDefault="00DE194E" w:rsidP="00481F21">
            <w:pPr>
              <w:pStyle w:val="Akapitzlist"/>
              <w:numPr>
                <w:ilvl w:val="1"/>
                <w:numId w:val="28"/>
              </w:numPr>
              <w:rPr>
                <w:rFonts w:ascii="Times New Roman" w:hAnsi="Times New Roman"/>
                <w:color w:val="000000"/>
                <w:spacing w:val="-2"/>
              </w:rPr>
            </w:pPr>
            <w:r w:rsidRPr="00DE194E">
              <w:rPr>
                <w:rFonts w:ascii="Times New Roman" w:hAnsi="Times New Roman"/>
                <w:color w:val="000000"/>
                <w:spacing w:val="-2"/>
              </w:rPr>
              <w:t>zmianę</w:t>
            </w:r>
            <w:r w:rsidR="00E62AF8">
              <w:rPr>
                <w:rFonts w:ascii="Times New Roman" w:hAnsi="Times New Roman"/>
                <w:color w:val="000000"/>
                <w:spacing w:val="-2"/>
              </w:rPr>
              <w:t xml:space="preserve"> </w:t>
            </w:r>
            <w:r w:rsidR="009F78EA" w:rsidRPr="009F78EA">
              <w:rPr>
                <w:rFonts w:ascii="Times New Roman" w:hAnsi="Times New Roman"/>
                <w:color w:val="000000"/>
                <w:spacing w:val="-2"/>
              </w:rPr>
              <w:t>sposobu wyliczania dochodu (przejście z brutto na netto – zgodnie z ustawą z dnia 28 listopada 2003 r. o świadczeniach rodzinnych</w:t>
            </w:r>
            <w:r w:rsidRPr="00DE194E">
              <w:rPr>
                <w:rFonts w:ascii="Times New Roman" w:hAnsi="Times New Roman"/>
                <w:color w:val="000000"/>
                <w:spacing w:val="-2"/>
              </w:rPr>
              <w:t>)</w:t>
            </w:r>
            <w:r w:rsidR="009F78EA" w:rsidRPr="009F78EA">
              <w:rPr>
                <w:rFonts w:ascii="Times New Roman" w:hAnsi="Times New Roman"/>
                <w:color w:val="000000"/>
                <w:spacing w:val="-2"/>
              </w:rPr>
              <w:t>)</w:t>
            </w:r>
            <w:r w:rsidR="009F78EA">
              <w:rPr>
                <w:rFonts w:ascii="Times New Roman" w:hAnsi="Times New Roman"/>
                <w:color w:val="000000"/>
                <w:spacing w:val="-2"/>
              </w:rPr>
              <w:t>;</w:t>
            </w:r>
          </w:p>
          <w:p w:rsidR="009F78EA" w:rsidRDefault="00FA20D1" w:rsidP="00DF6255">
            <w:pPr>
              <w:pStyle w:val="Akapitzlist"/>
              <w:numPr>
                <w:ilvl w:val="1"/>
                <w:numId w:val="28"/>
              </w:numPr>
              <w:tabs>
                <w:tab w:val="left" w:pos="318"/>
              </w:tabs>
              <w:spacing w:line="240" w:lineRule="auto"/>
              <w:jc w:val="both"/>
              <w:rPr>
                <w:rFonts w:ascii="Times New Roman" w:hAnsi="Times New Roman"/>
                <w:color w:val="000000"/>
                <w:spacing w:val="-2"/>
              </w:rPr>
            </w:pPr>
            <w:r w:rsidRPr="00FA20D1">
              <w:rPr>
                <w:rFonts w:ascii="Times New Roman" w:hAnsi="Times New Roman"/>
                <w:color w:val="000000"/>
                <w:spacing w:val="-2"/>
              </w:rPr>
              <w:t>zmiana z 3 miesięcy na 1 rok okresu</w:t>
            </w:r>
            <w:r w:rsidR="00BE26CF">
              <w:rPr>
                <w:rFonts w:ascii="Times New Roman" w:hAnsi="Times New Roman"/>
                <w:color w:val="000000"/>
                <w:spacing w:val="-2"/>
              </w:rPr>
              <w:t>,</w:t>
            </w:r>
            <w:r w:rsidRPr="00FA20D1">
              <w:rPr>
                <w:rFonts w:ascii="Times New Roman" w:hAnsi="Times New Roman"/>
                <w:color w:val="000000"/>
                <w:spacing w:val="-2"/>
              </w:rPr>
              <w:t xml:space="preserve"> z którego wyliczany jest dochód osoby ubiegającej się o realizację przedsięwzięcia niskoemisyjnego</w:t>
            </w:r>
            <w:r w:rsidR="009F78EA">
              <w:rPr>
                <w:rFonts w:ascii="Times New Roman" w:hAnsi="Times New Roman"/>
                <w:color w:val="000000"/>
                <w:spacing w:val="-2"/>
              </w:rPr>
              <w:t>;</w:t>
            </w:r>
          </w:p>
          <w:p w:rsidR="00BE26CF" w:rsidRPr="00481F21" w:rsidRDefault="009F78EA" w:rsidP="00481F21">
            <w:pPr>
              <w:pStyle w:val="Akapitzlist"/>
              <w:numPr>
                <w:ilvl w:val="1"/>
                <w:numId w:val="28"/>
              </w:numPr>
              <w:tabs>
                <w:tab w:val="left" w:pos="318"/>
              </w:tabs>
              <w:spacing w:line="240" w:lineRule="auto"/>
              <w:jc w:val="both"/>
              <w:rPr>
                <w:rFonts w:ascii="Times New Roman" w:hAnsi="Times New Roman"/>
                <w:color w:val="000000"/>
                <w:spacing w:val="-2"/>
              </w:rPr>
            </w:pPr>
            <w:r w:rsidRPr="009F78EA">
              <w:rPr>
                <w:rFonts w:ascii="Times New Roman" w:hAnsi="Times New Roman"/>
                <w:color w:val="000000"/>
                <w:spacing w:val="-2"/>
              </w:rPr>
              <w:t>umożliwienie gminom samodzielnej weryfikacji dochodu osoby ubiegającej się o realizację przedsięwzięcia niskoemisyjnego, wraz z innymi dodatkowymi instrumentami w tym zakresie, zaczerpniętymi z ustawy z dnia 28 listopada 2003 r. o świadczeniach rodzinnych</w:t>
            </w:r>
            <w:r w:rsidR="000D42CA">
              <w:rPr>
                <w:rFonts w:ascii="Times New Roman" w:hAnsi="Times New Roman"/>
                <w:color w:val="000000"/>
                <w:spacing w:val="-2"/>
              </w:rPr>
              <w:t>.</w:t>
            </w:r>
          </w:p>
          <w:p w:rsidR="009F78EA" w:rsidRPr="009A3181" w:rsidRDefault="00BE26CF" w:rsidP="009A3181">
            <w:pPr>
              <w:pStyle w:val="Akapitzlist"/>
              <w:numPr>
                <w:ilvl w:val="0"/>
                <w:numId w:val="28"/>
              </w:numPr>
              <w:tabs>
                <w:tab w:val="left" w:pos="318"/>
                <w:tab w:val="left" w:pos="460"/>
              </w:tabs>
              <w:spacing w:line="240" w:lineRule="auto"/>
              <w:jc w:val="both"/>
              <w:rPr>
                <w:rFonts w:ascii="Times New Roman" w:hAnsi="Times New Roman"/>
                <w:color w:val="000000"/>
                <w:spacing w:val="-2"/>
              </w:rPr>
            </w:pPr>
            <w:r>
              <w:rPr>
                <w:rFonts w:ascii="Times New Roman" w:hAnsi="Times New Roman"/>
                <w:color w:val="000000"/>
                <w:spacing w:val="-2"/>
              </w:rPr>
              <w:t>U</w:t>
            </w:r>
            <w:r w:rsidR="009F78EA" w:rsidRPr="009A3181">
              <w:rPr>
                <w:rFonts w:ascii="Times New Roman" w:hAnsi="Times New Roman"/>
                <w:color w:val="000000"/>
                <w:spacing w:val="-2"/>
              </w:rPr>
              <w:t xml:space="preserve">możliwienie związkom międzygminnym i powiatom aplikowania do </w:t>
            </w:r>
            <w:r w:rsidR="00DE194E" w:rsidRPr="00DE194E">
              <w:rPr>
                <w:rFonts w:ascii="Times New Roman" w:hAnsi="Times New Roman"/>
                <w:color w:val="000000"/>
                <w:spacing w:val="-2"/>
              </w:rPr>
              <w:t>programu</w:t>
            </w:r>
            <w:r w:rsidR="009F78EA" w:rsidRPr="009A3181">
              <w:rPr>
                <w:rFonts w:ascii="Times New Roman" w:hAnsi="Times New Roman"/>
                <w:color w:val="000000"/>
                <w:spacing w:val="-2"/>
              </w:rPr>
              <w:t xml:space="preserve"> w imieniu i na rzecz kilku gmin</w:t>
            </w:r>
            <w:r w:rsidR="00DE194E" w:rsidRPr="00DE194E">
              <w:rPr>
                <w:rFonts w:ascii="Times New Roman" w:hAnsi="Times New Roman"/>
                <w:color w:val="000000"/>
                <w:spacing w:val="-2"/>
              </w:rPr>
              <w:t>,</w:t>
            </w:r>
            <w:r w:rsidR="009F78EA" w:rsidRPr="009A3181">
              <w:rPr>
                <w:rFonts w:ascii="Times New Roman" w:hAnsi="Times New Roman"/>
                <w:color w:val="000000"/>
                <w:spacing w:val="-2"/>
              </w:rPr>
              <w:t>;</w:t>
            </w:r>
          </w:p>
          <w:p w:rsidR="00DF6255" w:rsidRPr="00481F21" w:rsidRDefault="00BE26CF" w:rsidP="009A3181">
            <w:pPr>
              <w:pStyle w:val="Akapitzlist"/>
              <w:numPr>
                <w:ilvl w:val="0"/>
                <w:numId w:val="28"/>
              </w:numPr>
              <w:tabs>
                <w:tab w:val="left" w:pos="318"/>
                <w:tab w:val="left" w:pos="460"/>
              </w:tabs>
              <w:spacing w:line="240" w:lineRule="auto"/>
              <w:jc w:val="both"/>
              <w:rPr>
                <w:rFonts w:ascii="Times New Roman" w:hAnsi="Times New Roman"/>
                <w:color w:val="000000"/>
                <w:spacing w:val="-2"/>
              </w:rPr>
            </w:pPr>
            <w:r>
              <w:rPr>
                <w:rFonts w:ascii="Times New Roman" w:hAnsi="Times New Roman"/>
                <w:color w:val="000000"/>
                <w:spacing w:val="-2"/>
              </w:rPr>
              <w:t>D</w:t>
            </w:r>
            <w:r w:rsidR="009F78EA" w:rsidRPr="009F78EA">
              <w:rPr>
                <w:rFonts w:ascii="Times New Roman" w:hAnsi="Times New Roman"/>
                <w:color w:val="000000"/>
                <w:spacing w:val="-2"/>
              </w:rPr>
              <w:t>okonanie zmiany podmiotu odpowiedzialnego za rozdysponowanie i rozliczanie tych środków. W miejsce ministra właściwego do spraw gospodarki, wstępują dwa podmioty – minister właściwy do spraw klimatu oraz Narodowy Fundusz Ochrony Środowiska i Gospodarki Wodnej.</w:t>
            </w:r>
          </w:p>
          <w:p w:rsidR="00A80B50" w:rsidRDefault="00A80B50" w:rsidP="009A3181">
            <w:pPr>
              <w:spacing w:line="240" w:lineRule="auto"/>
              <w:jc w:val="both"/>
              <w:rPr>
                <w:rFonts w:ascii="Times New Roman" w:hAnsi="Times New Roman"/>
                <w:color w:val="000000"/>
                <w:spacing w:val="-2"/>
              </w:rPr>
            </w:pPr>
          </w:p>
          <w:p w:rsidR="009F78EA" w:rsidRDefault="00A80B50" w:rsidP="009A3181">
            <w:pPr>
              <w:spacing w:line="240" w:lineRule="auto"/>
              <w:jc w:val="both"/>
              <w:rPr>
                <w:rFonts w:ascii="Times New Roman" w:hAnsi="Times New Roman"/>
              </w:rPr>
            </w:pPr>
            <w:r w:rsidRPr="00481F21">
              <w:rPr>
                <w:rFonts w:ascii="Times New Roman" w:hAnsi="Times New Roman"/>
                <w:bCs/>
                <w:color w:val="000000"/>
                <w:spacing w:val="-2"/>
              </w:rPr>
              <w:t>Ad 3. W zakresie u</w:t>
            </w:r>
            <w:r w:rsidRPr="00481F21">
              <w:rPr>
                <w:rFonts w:ascii="Times New Roman" w:hAnsi="Times New Roman"/>
                <w:bCs/>
              </w:rPr>
              <w:t>sprawnienia działania rządowego programu priorytetowego „Czyste Powietrze” proponuje</w:t>
            </w:r>
            <w:r>
              <w:rPr>
                <w:rFonts w:ascii="Times New Roman" w:hAnsi="Times New Roman"/>
              </w:rPr>
              <w:t xml:space="preserve"> się</w:t>
            </w:r>
            <w:r w:rsidR="00E70C86">
              <w:rPr>
                <w:rFonts w:ascii="Times New Roman" w:hAnsi="Times New Roman"/>
              </w:rPr>
              <w:t xml:space="preserve"> w </w:t>
            </w:r>
            <w:r w:rsidR="000707B1">
              <w:rPr>
                <w:rFonts w:ascii="Times New Roman" w:hAnsi="Times New Roman"/>
              </w:rPr>
              <w:t>szczególności</w:t>
            </w:r>
            <w:r w:rsidR="009F78EA">
              <w:rPr>
                <w:rFonts w:ascii="Times New Roman" w:hAnsi="Times New Roman"/>
              </w:rPr>
              <w:t>:</w:t>
            </w:r>
          </w:p>
          <w:p w:rsidR="0058029E" w:rsidRDefault="00C7710F" w:rsidP="009A3181">
            <w:pPr>
              <w:pStyle w:val="Akapitzlist"/>
              <w:numPr>
                <w:ilvl w:val="0"/>
                <w:numId w:val="36"/>
              </w:numPr>
              <w:tabs>
                <w:tab w:val="left" w:pos="318"/>
                <w:tab w:val="left" w:pos="460"/>
              </w:tabs>
              <w:spacing w:line="240" w:lineRule="auto"/>
              <w:jc w:val="both"/>
              <w:rPr>
                <w:rFonts w:ascii="Times New Roman" w:hAnsi="Times New Roman"/>
              </w:rPr>
            </w:pPr>
            <w:r w:rsidRPr="00C7710F">
              <w:rPr>
                <w:rFonts w:ascii="Times New Roman" w:hAnsi="Times New Roman"/>
              </w:rPr>
              <w:t>Poszerzenie zakresu działania NFOŚiGW oraz WFOŚiGW w postaci przekazywania środków (zasilania) Funduszu Poręczeń i Gwarancji Czyste Powietrze utworzonego w Banku Gospodarstwa Krajowego, którego celem będzie  udzielanie gwarancji na projekty ekologiczne w ramach programów rządowych w rozumieniu ustawy o poręczeniach i gwarancjach</w:t>
            </w:r>
            <w:r w:rsidR="0058029E" w:rsidRPr="0058029E">
              <w:rPr>
                <w:rFonts w:ascii="Times New Roman" w:hAnsi="Times New Roman"/>
              </w:rPr>
              <w:t xml:space="preserve"> </w:t>
            </w:r>
          </w:p>
          <w:p w:rsidR="000941D2" w:rsidRDefault="00C7710F" w:rsidP="009A3181">
            <w:pPr>
              <w:pStyle w:val="Akapitzlist"/>
              <w:numPr>
                <w:ilvl w:val="0"/>
                <w:numId w:val="36"/>
              </w:numPr>
              <w:tabs>
                <w:tab w:val="left" w:pos="318"/>
                <w:tab w:val="left" w:pos="460"/>
              </w:tabs>
              <w:spacing w:line="240" w:lineRule="auto"/>
              <w:jc w:val="both"/>
              <w:rPr>
                <w:rFonts w:ascii="Times New Roman" w:hAnsi="Times New Roman"/>
              </w:rPr>
            </w:pPr>
            <w:r w:rsidRPr="00C7710F">
              <w:rPr>
                <w:rFonts w:ascii="Times New Roman" w:hAnsi="Times New Roman"/>
              </w:rPr>
              <w:t>Umożliwienie udzielania gwarancji na projekty ekologiczne zwiększy zdolność operacyjną BGK, przy jednoczesnym zapewnieniu bezpieczeństwa środków instytucji finansowych przeznaczonych na udzielanie kredytów proekologicznych. Jednocześnie, ponieważ gwarancje te będą udzielane na podstawie przekazanych środków, nie zwiększy to wydatkowania środków BGK. Udzielanie gwarancji przez BGK wpłynie również pozytywnie na sektor bankowy, gdyż będą one mogły zwiększyć działalność kredytową na rynku w szczególności w stosunku do osób, który nie mogą zapewnić finansowania przedsięwzięcia proekologicznego z własnych środków, a których zdolność kredytowa mogła dotychczas nie gwarantować możliwości uzyskania kredytu . Udzielanie gwarancji będzie dotyczyło przede wszystkim udzielanych kredytów w ramach programu Czyste Powietrze.</w:t>
            </w:r>
          </w:p>
          <w:p w:rsidR="0058029E" w:rsidRPr="009A3181" w:rsidRDefault="0058029E" w:rsidP="009A3181">
            <w:pPr>
              <w:pStyle w:val="Akapitzlist"/>
              <w:numPr>
                <w:ilvl w:val="0"/>
                <w:numId w:val="36"/>
              </w:numPr>
              <w:tabs>
                <w:tab w:val="left" w:pos="318"/>
                <w:tab w:val="left" w:pos="460"/>
              </w:tabs>
              <w:spacing w:line="240" w:lineRule="auto"/>
              <w:jc w:val="both"/>
              <w:rPr>
                <w:rFonts w:ascii="Times New Roman" w:hAnsi="Times New Roman"/>
              </w:rPr>
            </w:pPr>
            <w:r w:rsidRPr="0058029E">
              <w:rPr>
                <w:rFonts w:ascii="Times New Roman" w:hAnsi="Times New Roman"/>
              </w:rPr>
              <w:t xml:space="preserve">Rozszerzenie zakresu stosowania instrumentu udostępnienia środków finansowych </w:t>
            </w:r>
            <w:r w:rsidR="00BF354F">
              <w:rPr>
                <w:rFonts w:ascii="Times New Roman" w:hAnsi="Times New Roman"/>
              </w:rPr>
              <w:t>NFOŚiGW</w:t>
            </w:r>
            <w:r w:rsidRPr="0058029E">
              <w:rPr>
                <w:rFonts w:ascii="Times New Roman" w:hAnsi="Times New Roman"/>
              </w:rPr>
              <w:t xml:space="preserve"> </w:t>
            </w:r>
            <w:r w:rsidR="00BF354F">
              <w:rPr>
                <w:rFonts w:ascii="Times New Roman" w:hAnsi="Times New Roman"/>
              </w:rPr>
              <w:t>dla WFOŚiGW</w:t>
            </w:r>
            <w:r w:rsidR="00BE26CF">
              <w:rPr>
                <w:rFonts w:ascii="Times New Roman" w:hAnsi="Times New Roman"/>
              </w:rPr>
              <w:t xml:space="preserve">, w tym </w:t>
            </w:r>
            <w:r w:rsidR="00E70C86">
              <w:rPr>
                <w:rFonts w:ascii="Times New Roman" w:hAnsi="Times New Roman"/>
              </w:rPr>
              <w:t>do wykorzystania przez m.in. JST kosztów wynikających z obsługi</w:t>
            </w:r>
            <w:r w:rsidRPr="009A3181">
              <w:rPr>
                <w:rFonts w:ascii="Times New Roman" w:hAnsi="Times New Roman"/>
              </w:rPr>
              <w:t xml:space="preserve"> wydawania zaświadczeń dla osób fizycznych, które zamierzają składać wnioski o dofinansowanie, w szczególności w ramach </w:t>
            </w:r>
            <w:r w:rsidR="000D42CA">
              <w:rPr>
                <w:rFonts w:ascii="Times New Roman" w:hAnsi="Times New Roman"/>
              </w:rPr>
              <w:t>rządowego p</w:t>
            </w:r>
            <w:r w:rsidRPr="009A3181">
              <w:rPr>
                <w:rFonts w:ascii="Times New Roman" w:hAnsi="Times New Roman"/>
              </w:rPr>
              <w:t xml:space="preserve">rogramu </w:t>
            </w:r>
            <w:r w:rsidR="000D42CA">
              <w:rPr>
                <w:rFonts w:ascii="Times New Roman" w:hAnsi="Times New Roman"/>
              </w:rPr>
              <w:t>p</w:t>
            </w:r>
            <w:r w:rsidRPr="009A3181">
              <w:rPr>
                <w:rFonts w:ascii="Times New Roman" w:hAnsi="Times New Roman"/>
              </w:rPr>
              <w:t xml:space="preserve">riorytetowego „Czyste Powietrze”, potwierdzających przeciętny miesięczny dochód na jednego członka gospodarstwa domowego, zgodnie z ustawą </w:t>
            </w:r>
            <w:r w:rsidR="000D42CA" w:rsidRPr="000D42CA">
              <w:rPr>
                <w:rFonts w:ascii="Times New Roman" w:hAnsi="Times New Roman"/>
              </w:rPr>
              <w:t xml:space="preserve">z dnia 28 listopada 2003 r. </w:t>
            </w:r>
            <w:r w:rsidRPr="009A3181">
              <w:rPr>
                <w:rFonts w:ascii="Times New Roman" w:hAnsi="Times New Roman"/>
              </w:rPr>
              <w:t xml:space="preserve">o świadczeniach rodzinnych. </w:t>
            </w:r>
          </w:p>
          <w:p w:rsidR="00B74C76" w:rsidRPr="00375EAE" w:rsidRDefault="0058029E" w:rsidP="00B74C76">
            <w:pPr>
              <w:pStyle w:val="Akapitzlist"/>
              <w:numPr>
                <w:ilvl w:val="0"/>
                <w:numId w:val="36"/>
              </w:numPr>
              <w:tabs>
                <w:tab w:val="left" w:pos="318"/>
                <w:tab w:val="left" w:pos="460"/>
              </w:tabs>
              <w:spacing w:line="240" w:lineRule="auto"/>
              <w:jc w:val="both"/>
              <w:rPr>
                <w:rFonts w:ascii="Times New Roman" w:hAnsi="Times New Roman"/>
                <w:color w:val="000000"/>
                <w:spacing w:val="-2"/>
              </w:rPr>
            </w:pPr>
            <w:r w:rsidRPr="0058029E">
              <w:rPr>
                <w:rFonts w:ascii="Times New Roman" w:hAnsi="Times New Roman"/>
              </w:rPr>
              <w:t>Ułatwienie zaciągania przez gminy pożyczek na zadania związane z ochroną klimatu</w:t>
            </w:r>
            <w:r w:rsidR="00BE26CF">
              <w:rPr>
                <w:rFonts w:ascii="Times New Roman" w:hAnsi="Times New Roman"/>
              </w:rPr>
              <w:t xml:space="preserve">, w tym </w:t>
            </w:r>
            <w:r w:rsidR="00BE26CF" w:rsidRPr="00BE26CF">
              <w:rPr>
                <w:rFonts w:ascii="Times New Roman" w:hAnsi="Times New Roman"/>
              </w:rPr>
              <w:t>wyłączenie pożyczek udzielanych ze środków NFOŚiGW lub WFOŚiGW</w:t>
            </w:r>
            <w:r w:rsidR="00BE26CF">
              <w:rPr>
                <w:rFonts w:ascii="Times New Roman" w:hAnsi="Times New Roman"/>
              </w:rPr>
              <w:t xml:space="preserve">, w tym na potrzeby realizacji </w:t>
            </w:r>
            <w:r w:rsidR="000D42CA">
              <w:rPr>
                <w:rFonts w:ascii="Times New Roman" w:hAnsi="Times New Roman"/>
              </w:rPr>
              <w:t xml:space="preserve">rządowego </w:t>
            </w:r>
            <w:r w:rsidR="00BE26CF">
              <w:rPr>
                <w:rFonts w:ascii="Times New Roman" w:hAnsi="Times New Roman"/>
              </w:rPr>
              <w:t xml:space="preserve">programu </w:t>
            </w:r>
            <w:r w:rsidR="000D42CA">
              <w:rPr>
                <w:rFonts w:ascii="Times New Roman" w:hAnsi="Times New Roman"/>
              </w:rPr>
              <w:t>priorytetowego „</w:t>
            </w:r>
            <w:r w:rsidR="00BE26CF">
              <w:rPr>
                <w:rFonts w:ascii="Times New Roman" w:hAnsi="Times New Roman"/>
              </w:rPr>
              <w:t>Czyste Powietrze</w:t>
            </w:r>
            <w:r w:rsidR="000D42CA">
              <w:rPr>
                <w:rFonts w:ascii="Times New Roman" w:hAnsi="Times New Roman"/>
              </w:rPr>
              <w:t>”</w:t>
            </w:r>
            <w:r w:rsidR="00BE26CF">
              <w:rPr>
                <w:rFonts w:ascii="Times New Roman" w:hAnsi="Times New Roman"/>
              </w:rPr>
              <w:t xml:space="preserve"> i </w:t>
            </w:r>
            <w:r w:rsidR="000D42CA">
              <w:rPr>
                <w:rFonts w:ascii="Times New Roman" w:hAnsi="Times New Roman"/>
              </w:rPr>
              <w:t>Programu</w:t>
            </w:r>
            <w:r w:rsidR="00BE26CF">
              <w:rPr>
                <w:rFonts w:ascii="Times New Roman" w:hAnsi="Times New Roman"/>
              </w:rPr>
              <w:t xml:space="preserve"> Stop Smog,</w:t>
            </w:r>
            <w:r w:rsidR="00BE26CF" w:rsidRPr="00BE26CF">
              <w:rPr>
                <w:rFonts w:ascii="Times New Roman" w:hAnsi="Times New Roman"/>
              </w:rPr>
              <w:t xml:space="preserve"> na przedsięwzięcia związane z ochroną klimatu z ograniczeń, o których stanowi art. 243 ust. 1 ustawy </w:t>
            </w:r>
            <w:r w:rsidR="00C60204" w:rsidRPr="00C60204">
              <w:rPr>
                <w:rFonts w:ascii="Times New Roman" w:hAnsi="Times New Roman"/>
              </w:rPr>
              <w:t>z dnia 27 sierpnia 2009 r.</w:t>
            </w:r>
            <w:r w:rsidR="00C60204">
              <w:rPr>
                <w:rFonts w:ascii="Times New Roman" w:hAnsi="Times New Roman"/>
              </w:rPr>
              <w:t xml:space="preserve"> </w:t>
            </w:r>
            <w:r w:rsidR="00BE26CF" w:rsidRPr="00BE26CF">
              <w:rPr>
                <w:rFonts w:ascii="Times New Roman" w:hAnsi="Times New Roman"/>
              </w:rPr>
              <w:t>o finansach publicznych.</w:t>
            </w:r>
          </w:p>
          <w:p w:rsidR="00375EAE" w:rsidRPr="005066D6" w:rsidRDefault="000C6696" w:rsidP="00375EAE">
            <w:pPr>
              <w:keepNext/>
              <w:keepLines/>
              <w:tabs>
                <w:tab w:val="left" w:pos="318"/>
                <w:tab w:val="left" w:pos="460"/>
              </w:tabs>
              <w:spacing w:before="200" w:line="240" w:lineRule="auto"/>
              <w:jc w:val="both"/>
              <w:outlineLvl w:val="1"/>
              <w:rPr>
                <w:rFonts w:ascii="Times New Roman" w:hAnsi="Times New Roman"/>
              </w:rPr>
            </w:pPr>
            <w:r w:rsidRPr="000C6696">
              <w:rPr>
                <w:rFonts w:ascii="Times New Roman" w:hAnsi="Times New Roman"/>
              </w:rPr>
              <w:t xml:space="preserve">Po przeprowadzonej analizie stwierdza się, że nie jest możliwe zastosowanie rozwiązań alternatywnych i istnieje konieczność uregulowania </w:t>
            </w:r>
            <w:r w:rsidR="00375EAE">
              <w:rPr>
                <w:rFonts w:ascii="Times New Roman" w:hAnsi="Times New Roman"/>
              </w:rPr>
              <w:t xml:space="preserve">rekomendowanych rozwiązań wyłącznie </w:t>
            </w:r>
            <w:r w:rsidR="002D6501">
              <w:rPr>
                <w:rFonts w:ascii="Times New Roman" w:hAnsi="Times New Roman"/>
              </w:rPr>
              <w:t>jako zmian</w:t>
            </w:r>
            <w:r w:rsidR="00375EAE">
              <w:rPr>
                <w:rFonts w:ascii="Times New Roman" w:hAnsi="Times New Roman"/>
              </w:rPr>
              <w:t xml:space="preserve"> w poszczególnych</w:t>
            </w:r>
            <w:r w:rsidRPr="000C6696">
              <w:rPr>
                <w:rFonts w:ascii="Times New Roman" w:hAnsi="Times New Roman"/>
              </w:rPr>
              <w:t xml:space="preserve"> </w:t>
            </w:r>
            <w:r w:rsidR="002D6501">
              <w:rPr>
                <w:rFonts w:ascii="Times New Roman" w:hAnsi="Times New Roman"/>
              </w:rPr>
              <w:t>aktach prawnych</w:t>
            </w:r>
            <w:r w:rsidRPr="000C6696">
              <w:rPr>
                <w:rFonts w:ascii="Times New Roman" w:hAnsi="Times New Roman"/>
              </w:rPr>
              <w:t xml:space="preserve">.  </w:t>
            </w:r>
          </w:p>
        </w:tc>
      </w:tr>
      <w:tr w:rsidR="006A701A" w:rsidRPr="008B4FE6" w:rsidTr="00481F21">
        <w:trPr>
          <w:trHeight w:val="307"/>
        </w:trPr>
        <w:tc>
          <w:tcPr>
            <w:tcW w:w="10947" w:type="dxa"/>
            <w:gridSpan w:val="17"/>
            <w:shd w:val="clear" w:color="auto" w:fill="99CCFF"/>
            <w:vAlign w:val="center"/>
          </w:tcPr>
          <w:p w:rsidR="006A701A" w:rsidRPr="008B4FE6" w:rsidRDefault="009E3C4B" w:rsidP="007D2192">
            <w:pPr>
              <w:numPr>
                <w:ilvl w:val="0"/>
                <w:numId w:val="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006A701A" w:rsidRPr="008B4FE6">
              <w:rPr>
                <w:rFonts w:ascii="Times New Roman" w:hAnsi="Times New Roman"/>
                <w:b/>
                <w:color w:val="000000"/>
              </w:rPr>
              <w:t>?</w:t>
            </w:r>
            <w:r w:rsidR="006A701A" w:rsidRPr="008B4FE6">
              <w:rPr>
                <w:rFonts w:ascii="Times New Roman" w:hAnsi="Times New Roman"/>
                <w:i/>
                <w:color w:val="000000"/>
              </w:rPr>
              <w:t xml:space="preserve"> </w:t>
            </w:r>
          </w:p>
        </w:tc>
      </w:tr>
      <w:tr w:rsidR="006A701A" w:rsidRPr="008B4FE6" w:rsidTr="00481F21">
        <w:trPr>
          <w:trHeight w:val="142"/>
        </w:trPr>
        <w:tc>
          <w:tcPr>
            <w:tcW w:w="10947" w:type="dxa"/>
            <w:gridSpan w:val="17"/>
            <w:shd w:val="clear" w:color="auto" w:fill="auto"/>
          </w:tcPr>
          <w:p w:rsidR="004C1F3A" w:rsidRPr="004C1F3A" w:rsidRDefault="004C1F3A" w:rsidP="004C1F3A">
            <w:pPr>
              <w:spacing w:line="240" w:lineRule="auto"/>
              <w:jc w:val="both"/>
              <w:rPr>
                <w:rFonts w:ascii="Times New Roman" w:hAnsi="Times New Roman"/>
                <w:color w:val="000000"/>
                <w:spacing w:val="-2"/>
              </w:rPr>
            </w:pPr>
            <w:r w:rsidRPr="004C1F3A">
              <w:rPr>
                <w:rFonts w:ascii="Times New Roman" w:hAnsi="Times New Roman"/>
                <w:color w:val="000000"/>
                <w:spacing w:val="-2"/>
              </w:rPr>
              <w:t xml:space="preserve">W krajach, gdzie występuje powszechne zjawisko niskiej emisji związane z eksploatacją urządzeń grzewczych na paliwa stałe w sektorze komunalno-bytowymi (np. Rumunia, Bułgaria, Słowacja, Węgry, Kosowo, Macedonia) przedmiotowy problem nie został dotychczas kompleksowo rozwiązany. Brak jest jednocześnie możliwości wskazania „uniwersalnych” rozwiązań, które zapewnią ograniczenie niskiej emisji, a w konsekwencji poprawę jakości powietrza bez względu na występujące uwarunkowania w danym kraju, tj. sytuację gospodarczą, warunki geograficzne i </w:t>
            </w:r>
            <w:r w:rsidRPr="004C1F3A">
              <w:rPr>
                <w:rFonts w:ascii="Times New Roman" w:hAnsi="Times New Roman"/>
                <w:color w:val="000000"/>
                <w:spacing w:val="-2"/>
              </w:rPr>
              <w:lastRenderedPageBreak/>
              <w:t>meteorologiczne, czy też skalę zanieczyszczenia. Znaczącą poprawę jakości powietrza w tych krajach będzie można osiągnąć przede wszystkim poprzez ograniczenie poziomu niskiej emisji, co powinno stanowić priorytet w planowanych i realizowanych działaniach naprawczych. Skala i rodzaj problemów związanych z zanieczyszczeniem powietrza w poszczególnych państwach są bardzo zróżnicowane, m.in. z uwagi na sytuację gospodarczą, czy też ich położenie</w:t>
            </w:r>
            <w:r w:rsidR="001A5B21">
              <w:rPr>
                <w:rFonts w:ascii="Times New Roman" w:hAnsi="Times New Roman"/>
                <w:color w:val="000000"/>
                <w:spacing w:val="-2"/>
              </w:rPr>
              <w:t xml:space="preserve"> geograficzne i powierzchnię. W </w:t>
            </w:r>
            <w:r w:rsidRPr="004C1F3A">
              <w:rPr>
                <w:rFonts w:ascii="Times New Roman" w:hAnsi="Times New Roman"/>
                <w:color w:val="000000"/>
                <w:spacing w:val="-2"/>
              </w:rPr>
              <w:t>konsekwencji nie ma możliwości wskazania „jedynie słusznej drogi” czy też „złotego środka”, które zapewnią poprawę jakości powietrza bez względu na okoliczności zewnętrzne. NIK wraz z Naczelnym Organem Kontroli Holandii (Algemene Rekenkamer), podjęły się koordynowania pierwszej międzynarodowej kontroli nt. skuteczności działań na rzecz poprawy jakości powietrza w 14 krajach Europy (Polska, Holandia, Słowacja, Mołdawia, Gruzja, Rumunia, Kosowo, Bułgaria, Macedonia, Albania, Szwajcaria, Hiszpania, Estonia) oraz w Izraelu, która została zaprezentowana w dokumencie pt.: „Joint report on air quality”</w:t>
            </w:r>
            <w:r w:rsidR="00C212E5">
              <w:rPr>
                <w:rFonts w:ascii="Times New Roman" w:hAnsi="Times New Roman"/>
                <w:color w:val="000000"/>
                <w:spacing w:val="-2"/>
              </w:rPr>
              <w:t>.</w:t>
            </w:r>
            <w:r w:rsidRPr="004C1F3A">
              <w:rPr>
                <w:rFonts w:ascii="Times New Roman" w:hAnsi="Times New Roman"/>
                <w:color w:val="000000"/>
                <w:spacing w:val="-2"/>
              </w:rPr>
              <w:t xml:space="preserve"> Wyniki kontroli międzynarodowej wskazują, że większość krajów aktualnie nie jest przygotowana do wykonania zadań w sposób określony w krajowych rekomendacjach NIK (</w:t>
            </w:r>
            <w:r w:rsidR="00391E52">
              <w:rPr>
                <w:rFonts w:ascii="Times New Roman" w:hAnsi="Times New Roman"/>
                <w:color w:val="000000"/>
                <w:spacing w:val="-2"/>
              </w:rPr>
              <w:t>vide:</w:t>
            </w:r>
            <w:r w:rsidRPr="004C1F3A">
              <w:rPr>
                <w:rFonts w:ascii="Times New Roman" w:hAnsi="Times New Roman"/>
                <w:color w:val="000000"/>
                <w:spacing w:val="-2"/>
              </w:rPr>
              <w:t xml:space="preserve"> pkt 1). W</w:t>
            </w:r>
            <w:r w:rsidR="001A5B21">
              <w:rPr>
                <w:rFonts w:ascii="Times New Roman" w:hAnsi="Times New Roman"/>
                <w:color w:val="000000"/>
                <w:spacing w:val="-2"/>
              </w:rPr>
              <w:t>iele z krajów uczestniczących w </w:t>
            </w:r>
            <w:r w:rsidRPr="004C1F3A">
              <w:rPr>
                <w:rFonts w:ascii="Times New Roman" w:hAnsi="Times New Roman"/>
                <w:color w:val="000000"/>
                <w:spacing w:val="-2"/>
              </w:rPr>
              <w:t>audycie znajduje się na początku drogi, która ma prowadzić do poprawy jakości powietrza i nie dysponuje danymi umożliwiającymi adekwatne zaplanowanie działań naprawczych i skuteczne zarządzanie procesem ich wdrażania.</w:t>
            </w:r>
          </w:p>
          <w:p w:rsidR="000602E4" w:rsidRPr="00B37C80" w:rsidRDefault="004C1F3A" w:rsidP="007479C0">
            <w:pPr>
              <w:spacing w:line="240" w:lineRule="auto"/>
              <w:jc w:val="both"/>
              <w:rPr>
                <w:rFonts w:ascii="Times New Roman" w:hAnsi="Times New Roman"/>
                <w:color w:val="000000"/>
                <w:spacing w:val="-2"/>
              </w:rPr>
            </w:pPr>
            <w:r w:rsidRPr="004C1F3A">
              <w:rPr>
                <w:rFonts w:ascii="Times New Roman" w:hAnsi="Times New Roman"/>
                <w:color w:val="000000"/>
                <w:spacing w:val="-2"/>
              </w:rPr>
              <w:t>W wielu krajach europejskich uruchomiono programy rządowe mające na celu poprawę efektywności energetycznej poprzez modernizację budynków przemysłowych i mieszkalnych. Wsparcie jest dostępne w formie ulg lub dotacji, które mogą być stosowane do izolacji termicznej, wymiany drzwi, modernizacji systemów grzewczych (np. wymiana kotłów) i instalacji systemów odzyskiwania energii oraz systemów opartych na odnawialnych źródłach energii. W większości krajów europejskich brak jest jednocześnie systemów gromadzących dane emisyjne na poziomie</w:t>
            </w:r>
            <w:r w:rsidR="00391E52">
              <w:rPr>
                <w:rFonts w:ascii="Times New Roman" w:hAnsi="Times New Roman"/>
                <w:color w:val="000000"/>
                <w:spacing w:val="-2"/>
              </w:rPr>
              <w:t xml:space="preserve"> budynków</w:t>
            </w:r>
            <w:r w:rsidRPr="004C1F3A">
              <w:rPr>
                <w:rFonts w:ascii="Times New Roman" w:hAnsi="Times New Roman"/>
                <w:color w:val="000000"/>
                <w:spacing w:val="-2"/>
              </w:rPr>
              <w:t>. W Wielkiej Brytanii dane zostały zebrane w celu ustalenia zapotrzebowania na ciepło – nie gromadzi się</w:t>
            </w:r>
            <w:r w:rsidR="001A5B21">
              <w:rPr>
                <w:rFonts w:ascii="Times New Roman" w:hAnsi="Times New Roman"/>
                <w:color w:val="000000"/>
                <w:spacing w:val="-2"/>
              </w:rPr>
              <w:t xml:space="preserve"> danych dla celów emisyjnych. W </w:t>
            </w:r>
            <w:r w:rsidRPr="004C1F3A">
              <w:rPr>
                <w:rFonts w:ascii="Times New Roman" w:hAnsi="Times New Roman"/>
                <w:color w:val="000000"/>
                <w:spacing w:val="-2"/>
              </w:rPr>
              <w:t>Austrii w celu lepszego określenia emisji z sektora z budynków opracowano ded</w:t>
            </w:r>
            <w:r w:rsidR="001A5B21">
              <w:rPr>
                <w:rFonts w:ascii="Times New Roman" w:hAnsi="Times New Roman"/>
                <w:color w:val="000000"/>
                <w:spacing w:val="-2"/>
              </w:rPr>
              <w:t>ykowane 22 wskaźniki emisyjne w </w:t>
            </w:r>
            <w:r w:rsidRPr="004C1F3A">
              <w:rPr>
                <w:rFonts w:ascii="Times New Roman" w:hAnsi="Times New Roman"/>
                <w:color w:val="000000"/>
                <w:spacing w:val="-2"/>
              </w:rPr>
              <w:t>zależności od źródła ciepła i spalanego paliwa, przy czym dane te dotyczą spalania oleju, gazu, drewna oraz węgla. W przypadku danych dotyczących paliwa stałego w postaci węgla, w Austrii istnieją tylko 2 wskaźniki dla pieca i kotła na paliwo stałe, z tego powodu, że te źródła nie są popularne w tym kraju. Zapotrzebowanie na energię zostało wyliczone po stopniodniach (różnicy w temperaturze na zewnętrz i wewnątrz) dla 5 wskaźników. Wyliczenia dotyczą średnich krajowych, dane nie są rozkładane przestrzennie. W Czechach, w kraju, w którym również występuje problem z jakością powietrza z tzw. sektora niskiej emisji – wyznaczono wskaźniki emisyjne z uwzględnieniem dostępnego na wewnętrznym rynku paliw oraz ich kaloryczności. Na tej podstawie określono emisyjność w 4 typach kotłów na paliwa stałe. Jednakże w Czechach brakuje bazy inwentaryzacyjnej budynków/lokali, dlatego dane gromadzone na poziomie gminnym są nieprecyzyjne.</w:t>
            </w:r>
          </w:p>
        </w:tc>
      </w:tr>
      <w:tr w:rsidR="006A701A" w:rsidRPr="008B4FE6" w:rsidTr="00481F21">
        <w:trPr>
          <w:trHeight w:val="359"/>
        </w:trPr>
        <w:tc>
          <w:tcPr>
            <w:tcW w:w="10947" w:type="dxa"/>
            <w:gridSpan w:val="17"/>
            <w:shd w:val="clear" w:color="auto" w:fill="99CCFF"/>
            <w:vAlign w:val="center"/>
          </w:tcPr>
          <w:p w:rsidR="006A701A" w:rsidRPr="008B4FE6" w:rsidRDefault="006A701A" w:rsidP="00213EFD">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00260F33" w:rsidRPr="008B4FE6" w:rsidTr="00481F21">
        <w:trPr>
          <w:trHeight w:val="142"/>
        </w:trPr>
        <w:tc>
          <w:tcPr>
            <w:tcW w:w="2322" w:type="dxa"/>
            <w:gridSpan w:val="3"/>
            <w:shd w:val="clear" w:color="auto" w:fill="auto"/>
          </w:tcPr>
          <w:p w:rsidR="00260F33" w:rsidRPr="008B4FE6" w:rsidRDefault="00260F33" w:rsidP="00481F21">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393" w:type="dxa"/>
            <w:gridSpan w:val="4"/>
            <w:shd w:val="clear" w:color="auto" w:fill="auto"/>
          </w:tcPr>
          <w:p w:rsidR="00260F33" w:rsidRPr="008B4FE6" w:rsidRDefault="00563199" w:rsidP="00481F21">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3325" w:type="dxa"/>
            <w:gridSpan w:val="5"/>
            <w:shd w:val="clear" w:color="auto" w:fill="auto"/>
          </w:tcPr>
          <w:p w:rsidR="00260F33" w:rsidRPr="008B4FE6" w:rsidRDefault="00260F33" w:rsidP="00481F21">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907" w:type="dxa"/>
            <w:gridSpan w:val="5"/>
            <w:shd w:val="clear" w:color="auto" w:fill="auto"/>
          </w:tcPr>
          <w:p w:rsidR="00260F33" w:rsidRPr="008B4FE6" w:rsidRDefault="00260F33" w:rsidP="00481F21">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260F33" w:rsidRPr="008B4FE6" w:rsidTr="00481F21">
        <w:trPr>
          <w:trHeight w:val="142"/>
        </w:trPr>
        <w:tc>
          <w:tcPr>
            <w:tcW w:w="2322" w:type="dxa"/>
            <w:gridSpan w:val="3"/>
            <w:shd w:val="clear" w:color="auto" w:fill="auto"/>
          </w:tcPr>
          <w:p w:rsidR="00260F33" w:rsidRDefault="003875A4" w:rsidP="00481F21">
            <w:pPr>
              <w:spacing w:line="240" w:lineRule="auto"/>
              <w:jc w:val="both"/>
              <w:rPr>
                <w:rFonts w:ascii="Times New Roman" w:hAnsi="Times New Roman"/>
                <w:color w:val="000000"/>
                <w:spacing w:val="-2"/>
              </w:rPr>
            </w:pPr>
            <w:r w:rsidRPr="003875A4">
              <w:rPr>
                <w:rFonts w:ascii="Times New Roman" w:hAnsi="Times New Roman"/>
                <w:color w:val="000000"/>
                <w:spacing w:val="-2"/>
              </w:rPr>
              <w:t xml:space="preserve">Obywatele - właściciele </w:t>
            </w:r>
            <w:r w:rsidR="000D0175">
              <w:rPr>
                <w:rFonts w:ascii="Times New Roman" w:hAnsi="Times New Roman"/>
                <w:color w:val="000000"/>
                <w:spacing w:val="-2"/>
              </w:rPr>
              <w:t xml:space="preserve">i zarządcy </w:t>
            </w:r>
            <w:r w:rsidRPr="003875A4">
              <w:rPr>
                <w:rFonts w:ascii="Times New Roman" w:hAnsi="Times New Roman"/>
                <w:color w:val="000000"/>
                <w:spacing w:val="-2"/>
              </w:rPr>
              <w:t xml:space="preserve">budynków </w:t>
            </w:r>
            <w:r w:rsidR="00391E52">
              <w:rPr>
                <w:rFonts w:ascii="Times New Roman" w:hAnsi="Times New Roman"/>
                <w:color w:val="000000"/>
                <w:spacing w:val="-2"/>
              </w:rPr>
              <w:t xml:space="preserve">(w tym przede wszystkim </w:t>
            </w:r>
            <w:r w:rsidRPr="003875A4">
              <w:rPr>
                <w:rFonts w:ascii="Times New Roman" w:hAnsi="Times New Roman"/>
                <w:color w:val="000000"/>
                <w:spacing w:val="-2"/>
              </w:rPr>
              <w:t>jednorodzinnych i wielorodzinnych</w:t>
            </w:r>
            <w:r w:rsidR="00391E52">
              <w:rPr>
                <w:rFonts w:ascii="Times New Roman" w:hAnsi="Times New Roman"/>
                <w:color w:val="000000"/>
                <w:spacing w:val="-2"/>
              </w:rPr>
              <w:t xml:space="preserve"> oraz handlowo – usługowych). </w:t>
            </w:r>
          </w:p>
          <w:p w:rsidR="006C2454" w:rsidRDefault="006C2454" w:rsidP="00481F21">
            <w:pPr>
              <w:spacing w:line="240" w:lineRule="auto"/>
              <w:jc w:val="both"/>
              <w:rPr>
                <w:rFonts w:ascii="Times New Roman" w:hAnsi="Times New Roman"/>
                <w:color w:val="000000"/>
                <w:spacing w:val="-2"/>
              </w:rPr>
            </w:pPr>
          </w:p>
          <w:p w:rsidR="006C2454" w:rsidRDefault="006C2454" w:rsidP="00481F21">
            <w:pPr>
              <w:spacing w:line="240" w:lineRule="auto"/>
              <w:jc w:val="both"/>
              <w:rPr>
                <w:rFonts w:ascii="Times New Roman" w:hAnsi="Times New Roman"/>
                <w:color w:val="000000"/>
                <w:spacing w:val="-2"/>
              </w:rPr>
            </w:pPr>
          </w:p>
          <w:p w:rsidR="006C2454" w:rsidRDefault="006C2454" w:rsidP="00481F21">
            <w:pPr>
              <w:spacing w:line="240" w:lineRule="auto"/>
              <w:jc w:val="both"/>
              <w:rPr>
                <w:rFonts w:ascii="Times New Roman" w:hAnsi="Times New Roman"/>
                <w:color w:val="000000"/>
                <w:spacing w:val="-2"/>
              </w:rPr>
            </w:pPr>
          </w:p>
          <w:p w:rsidR="006C2454" w:rsidRDefault="006C2454" w:rsidP="00481F21">
            <w:pPr>
              <w:spacing w:line="240" w:lineRule="auto"/>
              <w:jc w:val="both"/>
              <w:rPr>
                <w:rFonts w:ascii="Times New Roman" w:hAnsi="Times New Roman"/>
                <w:color w:val="000000"/>
                <w:spacing w:val="-2"/>
              </w:rPr>
            </w:pPr>
          </w:p>
          <w:p w:rsidR="006C2454" w:rsidRDefault="006C2454" w:rsidP="00481F21">
            <w:pPr>
              <w:spacing w:line="240" w:lineRule="auto"/>
              <w:jc w:val="both"/>
              <w:rPr>
                <w:rFonts w:ascii="Times New Roman" w:hAnsi="Times New Roman"/>
                <w:color w:val="000000"/>
                <w:spacing w:val="-2"/>
              </w:rPr>
            </w:pPr>
          </w:p>
          <w:p w:rsidR="006C2454" w:rsidRDefault="006C2454" w:rsidP="00481F21">
            <w:pPr>
              <w:spacing w:line="240" w:lineRule="auto"/>
              <w:jc w:val="both"/>
              <w:rPr>
                <w:rFonts w:ascii="Times New Roman" w:hAnsi="Times New Roman"/>
                <w:color w:val="000000"/>
                <w:spacing w:val="-2"/>
              </w:rPr>
            </w:pPr>
          </w:p>
          <w:p w:rsidR="006C2454" w:rsidRPr="008B4FE6" w:rsidRDefault="006C2454" w:rsidP="00481F21">
            <w:pPr>
              <w:spacing w:line="240" w:lineRule="auto"/>
              <w:jc w:val="both"/>
              <w:rPr>
                <w:rFonts w:ascii="Times New Roman" w:hAnsi="Times New Roman"/>
                <w:color w:val="000000"/>
                <w:spacing w:val="-2"/>
              </w:rPr>
            </w:pPr>
          </w:p>
        </w:tc>
        <w:tc>
          <w:tcPr>
            <w:tcW w:w="2393" w:type="dxa"/>
            <w:gridSpan w:val="4"/>
            <w:shd w:val="clear" w:color="auto" w:fill="auto"/>
          </w:tcPr>
          <w:p w:rsidR="00260F33" w:rsidRPr="00B37C80" w:rsidRDefault="003875A4" w:rsidP="00481F21">
            <w:pPr>
              <w:spacing w:line="240" w:lineRule="auto"/>
              <w:rPr>
                <w:rFonts w:ascii="Times New Roman" w:hAnsi="Times New Roman"/>
                <w:color w:val="000000"/>
                <w:spacing w:val="-2"/>
              </w:rPr>
            </w:pPr>
            <w:r>
              <w:rPr>
                <w:rFonts w:ascii="Times New Roman" w:hAnsi="Times New Roman"/>
                <w:color w:val="000000"/>
                <w:spacing w:val="-2"/>
              </w:rPr>
              <w:lastRenderedPageBreak/>
              <w:t>ok</w:t>
            </w:r>
            <w:r w:rsidR="00C60204">
              <w:rPr>
                <w:rFonts w:ascii="Times New Roman" w:hAnsi="Times New Roman"/>
                <w:color w:val="000000"/>
                <w:spacing w:val="-2"/>
              </w:rPr>
              <w:t>oło</w:t>
            </w:r>
            <w:r>
              <w:rPr>
                <w:rFonts w:ascii="Times New Roman" w:hAnsi="Times New Roman"/>
                <w:color w:val="000000"/>
                <w:spacing w:val="-2"/>
              </w:rPr>
              <w:t xml:space="preserve"> 5</w:t>
            </w:r>
            <w:r w:rsidR="00E70C86">
              <w:rPr>
                <w:rFonts w:ascii="Times New Roman" w:hAnsi="Times New Roman"/>
                <w:color w:val="000000"/>
                <w:spacing w:val="-2"/>
              </w:rPr>
              <w:t xml:space="preserve"> </w:t>
            </w:r>
            <w:r>
              <w:rPr>
                <w:rFonts w:ascii="Times New Roman" w:hAnsi="Times New Roman"/>
                <w:color w:val="000000"/>
                <w:spacing w:val="-2"/>
              </w:rPr>
              <w:t>007</w:t>
            </w:r>
            <w:r w:rsidR="00E70C86">
              <w:rPr>
                <w:rFonts w:ascii="Times New Roman" w:hAnsi="Times New Roman"/>
                <w:color w:val="000000"/>
                <w:spacing w:val="-2"/>
              </w:rPr>
              <w:t xml:space="preserve"> </w:t>
            </w:r>
            <w:r w:rsidRPr="003875A4">
              <w:rPr>
                <w:rFonts w:ascii="Times New Roman" w:hAnsi="Times New Roman"/>
                <w:color w:val="000000"/>
                <w:spacing w:val="-2"/>
              </w:rPr>
              <w:t>500</w:t>
            </w:r>
            <w:r>
              <w:rPr>
                <w:rFonts w:ascii="Times New Roman" w:hAnsi="Times New Roman"/>
                <w:color w:val="000000"/>
                <w:spacing w:val="-2"/>
              </w:rPr>
              <w:t xml:space="preserve"> </w:t>
            </w:r>
          </w:p>
        </w:tc>
        <w:tc>
          <w:tcPr>
            <w:tcW w:w="3325" w:type="dxa"/>
            <w:gridSpan w:val="5"/>
            <w:shd w:val="clear" w:color="auto" w:fill="auto"/>
          </w:tcPr>
          <w:p w:rsidR="006C2454" w:rsidRPr="00B37C80" w:rsidRDefault="003875A4" w:rsidP="00481F21">
            <w:pPr>
              <w:spacing w:line="240" w:lineRule="auto"/>
              <w:jc w:val="both"/>
              <w:rPr>
                <w:rFonts w:ascii="Times New Roman" w:hAnsi="Times New Roman"/>
                <w:color w:val="000000"/>
                <w:spacing w:val="-2"/>
              </w:rPr>
            </w:pPr>
            <w:r w:rsidRPr="003875A4">
              <w:rPr>
                <w:rFonts w:ascii="Times New Roman" w:hAnsi="Times New Roman"/>
                <w:color w:val="000000"/>
                <w:spacing w:val="-2"/>
              </w:rPr>
              <w:t>Opracowanie własne -  oszacowano na podstawie danych GUS (por. Raport GUS: Zamieszkane budynki - Narodowy Spis Powszechny Ludności i Mieszkań, Warszawa, 2013) nt. liczby budynków zamieszkanych jednorodzinnych i wielorodzinnych (przyjęto, że są one równoważne z zakresem budynkó</w:t>
            </w:r>
            <w:r w:rsidR="001D5349">
              <w:rPr>
                <w:rFonts w:ascii="Times New Roman" w:hAnsi="Times New Roman"/>
                <w:color w:val="000000"/>
                <w:spacing w:val="-2"/>
              </w:rPr>
              <w:t xml:space="preserve">w objętych </w:t>
            </w:r>
            <w:r w:rsidR="00DA3A1C">
              <w:rPr>
                <w:rFonts w:ascii="Times New Roman" w:hAnsi="Times New Roman"/>
                <w:color w:val="000000"/>
                <w:spacing w:val="-2"/>
              </w:rPr>
              <w:t>CEEB</w:t>
            </w:r>
            <w:r w:rsidRPr="003875A4">
              <w:rPr>
                <w:rFonts w:ascii="Times New Roman" w:hAnsi="Times New Roman"/>
                <w:color w:val="000000"/>
                <w:spacing w:val="-2"/>
              </w:rPr>
              <w:t>).</w:t>
            </w:r>
          </w:p>
        </w:tc>
        <w:tc>
          <w:tcPr>
            <w:tcW w:w="2907" w:type="dxa"/>
            <w:gridSpan w:val="5"/>
            <w:shd w:val="clear" w:color="auto" w:fill="auto"/>
          </w:tcPr>
          <w:p w:rsidR="00260F33" w:rsidRPr="00B37C80" w:rsidRDefault="003875A4" w:rsidP="00481F21">
            <w:pPr>
              <w:spacing w:line="240" w:lineRule="auto"/>
              <w:jc w:val="both"/>
              <w:rPr>
                <w:rFonts w:ascii="Times New Roman" w:hAnsi="Times New Roman"/>
                <w:color w:val="000000"/>
                <w:spacing w:val="-2"/>
              </w:rPr>
            </w:pPr>
            <w:r w:rsidRPr="003875A4">
              <w:rPr>
                <w:rFonts w:ascii="Times New Roman" w:hAnsi="Times New Roman"/>
                <w:color w:val="000000"/>
                <w:spacing w:val="-2"/>
              </w:rPr>
              <w:t xml:space="preserve">Inwentaryzacja budynków. Dostęp do danych zgromadzonych w </w:t>
            </w:r>
            <w:r w:rsidR="00C0242C">
              <w:rPr>
                <w:rFonts w:ascii="Times New Roman" w:hAnsi="Times New Roman"/>
                <w:color w:val="000000"/>
                <w:spacing w:val="-2"/>
              </w:rPr>
              <w:t>CEEB</w:t>
            </w:r>
            <w:r w:rsidR="00ED5F2B">
              <w:rPr>
                <w:rFonts w:ascii="Times New Roman" w:hAnsi="Times New Roman"/>
                <w:color w:val="000000"/>
                <w:spacing w:val="-2"/>
              </w:rPr>
              <w:t xml:space="preserve"> </w:t>
            </w:r>
            <w:r w:rsidRPr="003875A4">
              <w:rPr>
                <w:rFonts w:ascii="Times New Roman" w:hAnsi="Times New Roman"/>
                <w:color w:val="000000"/>
                <w:spacing w:val="-2"/>
              </w:rPr>
              <w:t>za pośrednictwem e – usług.</w:t>
            </w:r>
            <w:r w:rsidR="00490C02">
              <w:t xml:space="preserve"> </w:t>
            </w:r>
            <w:r w:rsidR="00490C02" w:rsidRPr="00490C02">
              <w:rPr>
                <w:rFonts w:ascii="Times New Roman" w:hAnsi="Times New Roman"/>
                <w:color w:val="000000"/>
                <w:spacing w:val="-2"/>
              </w:rPr>
              <w:t xml:space="preserve">Inwentaryzacja budynku nie będzie podlegać żadnej opłacie – nie wpływa więc na sytuację finansową </w:t>
            </w:r>
            <w:r w:rsidR="00490C02" w:rsidRPr="00490C02">
              <w:rPr>
                <w:rFonts w:ascii="Times New Roman" w:hAnsi="Times New Roman"/>
                <w:color w:val="000000"/>
                <w:spacing w:val="-2"/>
              </w:rPr>
              <w:lastRenderedPageBreak/>
              <w:t>mieszkańców budynków</w:t>
            </w:r>
            <w:r w:rsidR="001D5349">
              <w:rPr>
                <w:rFonts w:ascii="Times New Roman" w:hAnsi="Times New Roman"/>
                <w:color w:val="000000"/>
                <w:spacing w:val="-2"/>
              </w:rPr>
              <w:t>.</w:t>
            </w:r>
            <w:r w:rsidR="000D0175">
              <w:rPr>
                <w:rFonts w:ascii="Times New Roman" w:hAnsi="Times New Roman"/>
                <w:color w:val="000000"/>
                <w:spacing w:val="-2"/>
              </w:rPr>
              <w:t xml:space="preserve"> Obowiązek złożenia deklaracji o użytkowanym źródle ciepła, źródle spalania paliw lub źródle energii elektrycznej w postaci elektronicznej lub papierowej.</w:t>
            </w:r>
          </w:p>
        </w:tc>
      </w:tr>
      <w:tr w:rsidR="006C2454" w:rsidRPr="008B4FE6" w:rsidTr="00481F21">
        <w:trPr>
          <w:trHeight w:val="142"/>
        </w:trPr>
        <w:tc>
          <w:tcPr>
            <w:tcW w:w="2322" w:type="dxa"/>
            <w:gridSpan w:val="3"/>
            <w:shd w:val="clear" w:color="auto" w:fill="auto"/>
          </w:tcPr>
          <w:p w:rsidR="006C2454" w:rsidRPr="003875A4" w:rsidRDefault="006C2454" w:rsidP="00481F21">
            <w:pPr>
              <w:spacing w:line="240" w:lineRule="auto"/>
              <w:rPr>
                <w:rFonts w:ascii="Times New Roman" w:hAnsi="Times New Roman"/>
                <w:color w:val="000000"/>
                <w:spacing w:val="-2"/>
              </w:rPr>
            </w:pPr>
            <w:r w:rsidRPr="003875A4">
              <w:rPr>
                <w:rFonts w:ascii="Times New Roman" w:hAnsi="Times New Roman"/>
                <w:color w:val="000000"/>
                <w:spacing w:val="-2"/>
              </w:rPr>
              <w:lastRenderedPageBreak/>
              <w:t xml:space="preserve">Przedsiębiorcy: </w:t>
            </w:r>
          </w:p>
          <w:p w:rsidR="006C2454" w:rsidRPr="003875A4" w:rsidRDefault="006C2454" w:rsidP="00481F21">
            <w:pPr>
              <w:spacing w:line="240" w:lineRule="auto"/>
              <w:rPr>
                <w:rFonts w:ascii="Times New Roman" w:hAnsi="Times New Roman"/>
                <w:color w:val="000000"/>
                <w:spacing w:val="-2"/>
              </w:rPr>
            </w:pPr>
            <w:r w:rsidRPr="003875A4">
              <w:rPr>
                <w:rFonts w:ascii="Times New Roman" w:hAnsi="Times New Roman"/>
                <w:color w:val="000000"/>
                <w:spacing w:val="-2"/>
              </w:rPr>
              <w:t>1) osoby z uprawnieniami kominiarskimi - mistrzowie kominiarscy</w:t>
            </w:r>
            <w:r w:rsidR="000D0175">
              <w:rPr>
                <w:rFonts w:ascii="Times New Roman" w:hAnsi="Times New Roman"/>
                <w:color w:val="000000"/>
                <w:spacing w:val="-2"/>
              </w:rPr>
              <w:t xml:space="preserve"> i czeladnicy kominiarscy</w:t>
            </w:r>
            <w:r w:rsidRPr="003875A4">
              <w:rPr>
                <w:rFonts w:ascii="Times New Roman" w:hAnsi="Times New Roman"/>
                <w:color w:val="000000"/>
                <w:spacing w:val="-2"/>
              </w:rPr>
              <w:t xml:space="preserve">, </w:t>
            </w:r>
          </w:p>
          <w:p w:rsidR="006C2454" w:rsidRPr="003875A4" w:rsidRDefault="006C2454" w:rsidP="00481F21">
            <w:pPr>
              <w:spacing w:line="240" w:lineRule="auto"/>
              <w:rPr>
                <w:rFonts w:ascii="Times New Roman" w:hAnsi="Times New Roman"/>
                <w:color w:val="000000"/>
                <w:spacing w:val="-2"/>
              </w:rPr>
            </w:pPr>
            <w:r w:rsidRPr="003875A4">
              <w:rPr>
                <w:rFonts w:ascii="Times New Roman" w:hAnsi="Times New Roman"/>
                <w:color w:val="000000"/>
                <w:spacing w:val="-2"/>
              </w:rPr>
              <w:t>2) osoby z uprawnieniami budowlanymi odpowiedniej specjalności instalacyjnej,</w:t>
            </w:r>
          </w:p>
          <w:p w:rsidR="006C2454" w:rsidRPr="003875A4" w:rsidRDefault="006C2454" w:rsidP="00481F21">
            <w:pPr>
              <w:spacing w:line="240" w:lineRule="auto"/>
              <w:rPr>
                <w:rFonts w:ascii="Times New Roman" w:hAnsi="Times New Roman"/>
                <w:color w:val="000000"/>
                <w:spacing w:val="-2"/>
              </w:rPr>
            </w:pPr>
            <w:r w:rsidRPr="003875A4">
              <w:rPr>
                <w:rFonts w:ascii="Times New Roman" w:hAnsi="Times New Roman"/>
                <w:color w:val="000000"/>
                <w:spacing w:val="-2"/>
              </w:rPr>
              <w:t>3) osoby sporządzające świadectwo charakterystyki energetycznej budynku,</w:t>
            </w:r>
          </w:p>
          <w:p w:rsidR="006C2454" w:rsidRPr="008B4FE6" w:rsidRDefault="006C2454" w:rsidP="00481F21">
            <w:pPr>
              <w:spacing w:line="240" w:lineRule="auto"/>
              <w:rPr>
                <w:rFonts w:ascii="Times New Roman" w:hAnsi="Times New Roman"/>
                <w:color w:val="000000"/>
                <w:spacing w:val="-2"/>
              </w:rPr>
            </w:pPr>
            <w:r w:rsidRPr="003875A4">
              <w:rPr>
                <w:rFonts w:ascii="Times New Roman" w:hAnsi="Times New Roman"/>
                <w:color w:val="000000"/>
                <w:spacing w:val="-2"/>
              </w:rPr>
              <w:t xml:space="preserve">4) osoby przeprowadzające kontrolę stanu technicznego </w:t>
            </w:r>
            <w:r w:rsidRPr="003875A4">
              <w:rPr>
                <w:rFonts w:ascii="Times New Roman" w:hAnsi="Times New Roman"/>
                <w:color w:val="000000"/>
                <w:spacing w:val="-2"/>
              </w:rPr>
              <w:lastRenderedPageBreak/>
              <w:t>systemu ogrzewania.</w:t>
            </w:r>
          </w:p>
        </w:tc>
        <w:tc>
          <w:tcPr>
            <w:tcW w:w="2393" w:type="dxa"/>
            <w:gridSpan w:val="4"/>
            <w:shd w:val="clear" w:color="auto" w:fill="auto"/>
          </w:tcPr>
          <w:p w:rsidR="006C2454" w:rsidRPr="003875A4" w:rsidRDefault="006C2454" w:rsidP="00481F21">
            <w:pPr>
              <w:spacing w:line="240" w:lineRule="auto"/>
              <w:rPr>
                <w:rFonts w:ascii="Times New Roman" w:hAnsi="Times New Roman"/>
                <w:color w:val="000000"/>
                <w:spacing w:val="-2"/>
              </w:rPr>
            </w:pPr>
            <w:r>
              <w:rPr>
                <w:rFonts w:ascii="Times New Roman" w:hAnsi="Times New Roman"/>
                <w:color w:val="000000"/>
                <w:spacing w:val="-2"/>
              </w:rPr>
              <w:lastRenderedPageBreak/>
              <w:t>1) ok. 3</w:t>
            </w:r>
            <w:r w:rsidR="00E70C86">
              <w:rPr>
                <w:rFonts w:ascii="Times New Roman" w:hAnsi="Times New Roman"/>
                <w:color w:val="000000"/>
                <w:spacing w:val="-2"/>
              </w:rPr>
              <w:t xml:space="preserve"> </w:t>
            </w:r>
            <w:r>
              <w:rPr>
                <w:rFonts w:ascii="Times New Roman" w:hAnsi="Times New Roman"/>
                <w:color w:val="000000"/>
                <w:spacing w:val="-2"/>
              </w:rPr>
              <w:t>100  osób</w:t>
            </w:r>
            <w:r w:rsidR="000D0175">
              <w:rPr>
                <w:rFonts w:ascii="Times New Roman" w:hAnsi="Times New Roman"/>
                <w:color w:val="000000"/>
                <w:spacing w:val="-2"/>
              </w:rPr>
              <w:t xml:space="preserve"> z uprawnieniami mistrzów kominiarskich oraz ok. 6200 osób z uprawnieniami czeladników kominiarskich</w:t>
            </w:r>
            <w:r w:rsidRPr="003875A4">
              <w:rPr>
                <w:rFonts w:ascii="Times New Roman" w:hAnsi="Times New Roman"/>
                <w:color w:val="000000"/>
                <w:spacing w:val="-2"/>
              </w:rPr>
              <w:t xml:space="preserve">, </w:t>
            </w:r>
          </w:p>
          <w:p w:rsidR="006C2454" w:rsidRPr="003875A4" w:rsidRDefault="006C2454" w:rsidP="00481F21">
            <w:pPr>
              <w:spacing w:line="240" w:lineRule="auto"/>
              <w:rPr>
                <w:rFonts w:ascii="Times New Roman" w:hAnsi="Times New Roman"/>
                <w:color w:val="000000"/>
                <w:spacing w:val="-2"/>
              </w:rPr>
            </w:pPr>
            <w:r>
              <w:rPr>
                <w:rFonts w:ascii="Times New Roman" w:hAnsi="Times New Roman"/>
                <w:color w:val="000000"/>
                <w:spacing w:val="-2"/>
              </w:rPr>
              <w:t>2) ok. 22</w:t>
            </w:r>
            <w:r w:rsidR="00E70C86">
              <w:rPr>
                <w:rFonts w:ascii="Times New Roman" w:hAnsi="Times New Roman"/>
                <w:color w:val="000000"/>
                <w:spacing w:val="-2"/>
              </w:rPr>
              <w:t xml:space="preserve"> </w:t>
            </w:r>
            <w:r w:rsidRPr="003875A4">
              <w:rPr>
                <w:rFonts w:ascii="Times New Roman" w:hAnsi="Times New Roman"/>
                <w:color w:val="000000"/>
                <w:spacing w:val="-2"/>
              </w:rPr>
              <w:t>000 osób;</w:t>
            </w:r>
          </w:p>
          <w:p w:rsidR="006C2454" w:rsidRPr="003875A4" w:rsidRDefault="006C2454" w:rsidP="00481F21">
            <w:pPr>
              <w:spacing w:line="240" w:lineRule="auto"/>
              <w:rPr>
                <w:rFonts w:ascii="Times New Roman" w:hAnsi="Times New Roman"/>
                <w:color w:val="000000"/>
                <w:spacing w:val="-2"/>
              </w:rPr>
            </w:pPr>
            <w:r w:rsidRPr="003875A4">
              <w:rPr>
                <w:rFonts w:ascii="Times New Roman" w:hAnsi="Times New Roman"/>
                <w:color w:val="000000"/>
                <w:spacing w:val="-2"/>
              </w:rPr>
              <w:t>3) 15</w:t>
            </w:r>
            <w:r w:rsidR="00E70C86">
              <w:rPr>
                <w:rFonts w:ascii="Times New Roman" w:hAnsi="Times New Roman"/>
                <w:color w:val="000000"/>
                <w:spacing w:val="-2"/>
              </w:rPr>
              <w:t xml:space="preserve"> </w:t>
            </w:r>
            <w:r w:rsidRPr="003875A4">
              <w:rPr>
                <w:rFonts w:ascii="Times New Roman" w:hAnsi="Times New Roman"/>
                <w:color w:val="000000"/>
                <w:spacing w:val="-2"/>
              </w:rPr>
              <w:t>232 osoby;</w:t>
            </w:r>
          </w:p>
          <w:p w:rsidR="006C2454" w:rsidRPr="00B37C80" w:rsidRDefault="006C2454" w:rsidP="00481F21">
            <w:pPr>
              <w:spacing w:line="240" w:lineRule="auto"/>
              <w:rPr>
                <w:rFonts w:ascii="Times New Roman" w:hAnsi="Times New Roman"/>
                <w:color w:val="000000"/>
                <w:spacing w:val="-2"/>
              </w:rPr>
            </w:pPr>
            <w:r w:rsidRPr="003875A4">
              <w:rPr>
                <w:rFonts w:ascii="Times New Roman" w:hAnsi="Times New Roman"/>
                <w:color w:val="000000"/>
                <w:spacing w:val="-2"/>
              </w:rPr>
              <w:t>4) 1</w:t>
            </w:r>
            <w:r w:rsidR="00E70C86">
              <w:rPr>
                <w:rFonts w:ascii="Times New Roman" w:hAnsi="Times New Roman"/>
                <w:color w:val="000000"/>
                <w:spacing w:val="-2"/>
              </w:rPr>
              <w:t xml:space="preserve"> </w:t>
            </w:r>
            <w:r w:rsidRPr="003875A4">
              <w:rPr>
                <w:rFonts w:ascii="Times New Roman" w:hAnsi="Times New Roman"/>
                <w:color w:val="000000"/>
                <w:spacing w:val="-2"/>
              </w:rPr>
              <w:t>775 osób.</w:t>
            </w:r>
          </w:p>
        </w:tc>
        <w:tc>
          <w:tcPr>
            <w:tcW w:w="3325" w:type="dxa"/>
            <w:gridSpan w:val="5"/>
            <w:shd w:val="clear" w:color="auto" w:fill="auto"/>
          </w:tcPr>
          <w:p w:rsidR="006C2454" w:rsidRPr="007F1803" w:rsidRDefault="006C2454" w:rsidP="00481F21">
            <w:pPr>
              <w:spacing w:line="240" w:lineRule="auto"/>
              <w:rPr>
                <w:rFonts w:ascii="Times New Roman" w:hAnsi="Times New Roman"/>
                <w:color w:val="000000"/>
                <w:spacing w:val="-2"/>
              </w:rPr>
            </w:pPr>
            <w:r>
              <w:rPr>
                <w:rFonts w:ascii="Times New Roman" w:hAnsi="Times New Roman"/>
                <w:color w:val="000000"/>
                <w:spacing w:val="-2"/>
              </w:rPr>
              <w:t>1</w:t>
            </w:r>
            <w:r w:rsidRPr="007F1803">
              <w:rPr>
                <w:rFonts w:ascii="Times New Roman" w:hAnsi="Times New Roman"/>
                <w:color w:val="000000"/>
                <w:spacing w:val="-2"/>
              </w:rPr>
              <w:t>) własna analiza rynku oparta na informacjach pochodzących z cechów kominiarskich;</w:t>
            </w:r>
          </w:p>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color w:val="000000"/>
                <w:spacing w:val="-2"/>
              </w:rPr>
              <w:t>2) własna analiza rynku oparta na informacjach z Polskiej Izby Inżynierów Budownictwa zamieszczonych z Biuletynie „Inżynier Budownictwa” (stan na 2017 r.);</w:t>
            </w:r>
          </w:p>
          <w:p w:rsidR="006C2454" w:rsidRPr="00B37C80" w:rsidRDefault="006C2454" w:rsidP="00481F21">
            <w:pPr>
              <w:spacing w:line="240" w:lineRule="auto"/>
              <w:rPr>
                <w:rFonts w:ascii="Times New Roman" w:hAnsi="Times New Roman"/>
                <w:color w:val="000000"/>
                <w:spacing w:val="-2"/>
              </w:rPr>
            </w:pPr>
            <w:r w:rsidRPr="007F1803">
              <w:rPr>
                <w:rFonts w:ascii="Times New Roman" w:hAnsi="Times New Roman"/>
                <w:color w:val="000000"/>
                <w:spacing w:val="-2"/>
              </w:rPr>
              <w:t xml:space="preserve">3-4) dane z centralnego rejestru świadectw charakterystyki energetycznej budynków - prowadzonego </w:t>
            </w:r>
            <w:r>
              <w:rPr>
                <w:rFonts w:ascii="Times New Roman" w:hAnsi="Times New Roman"/>
                <w:color w:val="000000"/>
                <w:spacing w:val="-2"/>
              </w:rPr>
              <w:t xml:space="preserve">obecnie </w:t>
            </w:r>
            <w:r w:rsidRPr="007F1803">
              <w:rPr>
                <w:rFonts w:ascii="Times New Roman" w:hAnsi="Times New Roman"/>
                <w:color w:val="000000"/>
                <w:spacing w:val="-2"/>
              </w:rPr>
              <w:t>przez M</w:t>
            </w:r>
            <w:r>
              <w:rPr>
                <w:rFonts w:ascii="Times New Roman" w:hAnsi="Times New Roman"/>
                <w:color w:val="000000"/>
                <w:spacing w:val="-2"/>
              </w:rPr>
              <w:t xml:space="preserve">inistra </w:t>
            </w:r>
            <w:r w:rsidRPr="007F1803">
              <w:rPr>
                <w:rFonts w:ascii="Times New Roman" w:hAnsi="Times New Roman"/>
                <w:color w:val="000000"/>
                <w:spacing w:val="-2"/>
              </w:rPr>
              <w:t>R</w:t>
            </w:r>
            <w:r>
              <w:rPr>
                <w:rFonts w:ascii="Times New Roman" w:hAnsi="Times New Roman"/>
                <w:color w:val="000000"/>
                <w:spacing w:val="-2"/>
              </w:rPr>
              <w:t>ozwoju</w:t>
            </w:r>
            <w:r w:rsidRPr="007F1803">
              <w:rPr>
                <w:rFonts w:ascii="Times New Roman" w:hAnsi="Times New Roman"/>
                <w:color w:val="000000"/>
                <w:spacing w:val="-2"/>
              </w:rPr>
              <w:t>.</w:t>
            </w:r>
          </w:p>
        </w:tc>
        <w:tc>
          <w:tcPr>
            <w:tcW w:w="2907" w:type="dxa"/>
            <w:gridSpan w:val="5"/>
            <w:shd w:val="clear" w:color="auto" w:fill="auto"/>
          </w:tcPr>
          <w:p w:rsidR="006C2454" w:rsidRDefault="006C2454" w:rsidP="00481F21">
            <w:pPr>
              <w:spacing w:line="240" w:lineRule="auto"/>
              <w:jc w:val="both"/>
              <w:rPr>
                <w:rFonts w:ascii="Times New Roman" w:hAnsi="Times New Roman"/>
                <w:color w:val="000000"/>
                <w:spacing w:val="-2"/>
              </w:rPr>
            </w:pPr>
            <w:r>
              <w:rPr>
                <w:rFonts w:ascii="Times New Roman" w:hAnsi="Times New Roman"/>
                <w:color w:val="000000"/>
                <w:spacing w:val="-2"/>
              </w:rPr>
              <w:t xml:space="preserve">1-2) </w:t>
            </w:r>
            <w:r w:rsidRPr="007F1803">
              <w:rPr>
                <w:rFonts w:ascii="Times New Roman" w:hAnsi="Times New Roman"/>
                <w:color w:val="000000"/>
                <w:spacing w:val="-2"/>
              </w:rPr>
              <w:t>Konieczność uwzględnienia w dokonywanej czynności przeglądu okresowego przewodów kominowych,</w:t>
            </w:r>
            <w:r w:rsidR="000D0175">
              <w:rPr>
                <w:rFonts w:ascii="Times New Roman" w:hAnsi="Times New Roman"/>
                <w:color w:val="000000"/>
                <w:spacing w:val="-2"/>
              </w:rPr>
              <w:t xml:space="preserve"> usuwania zanieczyszczeń z przewodów dymowych i spalinowych,</w:t>
            </w:r>
            <w:r w:rsidRPr="007F1803">
              <w:rPr>
                <w:rFonts w:ascii="Times New Roman" w:hAnsi="Times New Roman"/>
                <w:color w:val="000000"/>
                <w:spacing w:val="-2"/>
              </w:rPr>
              <w:t xml:space="preserve"> kontroli stanu technicznego systemu ogrzewania wszystkich źródeł</w:t>
            </w:r>
            <w:r>
              <w:rPr>
                <w:rFonts w:ascii="Times New Roman" w:hAnsi="Times New Roman"/>
                <w:color w:val="000000"/>
                <w:spacing w:val="-2"/>
              </w:rPr>
              <w:t xml:space="preserve"> ciepła, źródeł</w:t>
            </w:r>
            <w:r w:rsidRPr="007F1803">
              <w:rPr>
                <w:rFonts w:ascii="Times New Roman" w:hAnsi="Times New Roman"/>
                <w:color w:val="000000"/>
                <w:spacing w:val="-2"/>
              </w:rPr>
              <w:t xml:space="preserve"> spalania paliw,</w:t>
            </w:r>
            <w:r>
              <w:rPr>
                <w:rFonts w:ascii="Times New Roman" w:hAnsi="Times New Roman"/>
                <w:color w:val="000000"/>
                <w:spacing w:val="-2"/>
              </w:rPr>
              <w:t xml:space="preserve"> źródeł energii elektrycznej, w ramach inwentaryzacji budynku</w:t>
            </w:r>
            <w:r w:rsidRPr="007F1803">
              <w:rPr>
                <w:rFonts w:ascii="Times New Roman" w:hAnsi="Times New Roman"/>
                <w:color w:val="000000"/>
                <w:spacing w:val="-2"/>
              </w:rPr>
              <w:t xml:space="preserve"> oraz przekazania do</w:t>
            </w:r>
            <w:r>
              <w:rPr>
                <w:rFonts w:ascii="Times New Roman" w:hAnsi="Times New Roman"/>
                <w:color w:val="000000"/>
                <w:spacing w:val="-2"/>
              </w:rPr>
              <w:t xml:space="preserve"> CEEB </w:t>
            </w:r>
            <w:r w:rsidRPr="007F1803">
              <w:rPr>
                <w:rFonts w:ascii="Times New Roman" w:hAnsi="Times New Roman"/>
                <w:color w:val="000000"/>
                <w:spacing w:val="-2"/>
              </w:rPr>
              <w:t>danych</w:t>
            </w:r>
            <w:r>
              <w:rPr>
                <w:rFonts w:ascii="Times New Roman" w:hAnsi="Times New Roman"/>
                <w:color w:val="000000"/>
                <w:spacing w:val="-2"/>
              </w:rPr>
              <w:t xml:space="preserve"> </w:t>
            </w:r>
            <w:r w:rsidRPr="007F1803">
              <w:rPr>
                <w:rFonts w:ascii="Times New Roman" w:hAnsi="Times New Roman"/>
                <w:color w:val="000000"/>
                <w:spacing w:val="-2"/>
              </w:rPr>
              <w:t xml:space="preserve">za pośrednictwem </w:t>
            </w:r>
            <w:r w:rsidRPr="007F1803">
              <w:rPr>
                <w:rFonts w:ascii="Times New Roman" w:hAnsi="Times New Roman"/>
                <w:color w:val="000000"/>
                <w:spacing w:val="-2"/>
              </w:rPr>
              <w:lastRenderedPageBreak/>
              <w:t xml:space="preserve">systemu teleinformatycznego obsługującego </w:t>
            </w:r>
            <w:r w:rsidR="00DA3A1C">
              <w:rPr>
                <w:rFonts w:ascii="Times New Roman" w:hAnsi="Times New Roman"/>
                <w:color w:val="000000"/>
                <w:spacing w:val="-2"/>
              </w:rPr>
              <w:t>CEEB</w:t>
            </w:r>
            <w:r w:rsidRPr="007F1803">
              <w:rPr>
                <w:rFonts w:ascii="Times New Roman" w:hAnsi="Times New Roman"/>
                <w:color w:val="000000"/>
                <w:spacing w:val="-2"/>
              </w:rPr>
              <w:t>.</w:t>
            </w:r>
          </w:p>
          <w:p w:rsidR="00580760" w:rsidRDefault="00580760" w:rsidP="00481F21">
            <w:pPr>
              <w:spacing w:line="240" w:lineRule="auto"/>
              <w:jc w:val="both"/>
              <w:rPr>
                <w:rFonts w:ascii="Times New Roman" w:hAnsi="Times New Roman"/>
                <w:color w:val="000000"/>
                <w:spacing w:val="-2"/>
              </w:rPr>
            </w:pPr>
            <w:r>
              <w:rPr>
                <w:rFonts w:ascii="Times New Roman" w:hAnsi="Times New Roman"/>
                <w:color w:val="000000"/>
                <w:spacing w:val="-2"/>
              </w:rPr>
              <w:t xml:space="preserve">2) </w:t>
            </w:r>
            <w:r w:rsidRPr="00580760">
              <w:rPr>
                <w:rFonts w:ascii="Times New Roman" w:hAnsi="Times New Roman"/>
                <w:color w:val="000000"/>
                <w:spacing w:val="-2"/>
              </w:rPr>
              <w:t xml:space="preserve">osoby posiadające uprawnienia budowlane, które są wpisane do centralnego rejestru osób posiadających uprawnienia budowlane, nie są obligowane do składania wniosku o wpis do wykazu. Dane tych osób zostaną zmigrowane do CEEB. Osoby te uzyskają więc bezpośredni dostęp do systemu po nadaniu odpowiednich uprawnień oraz logowaniu do systemu uwzględniającego autoryzację użytkownika.    </w:t>
            </w:r>
          </w:p>
          <w:p w:rsidR="006C2454" w:rsidRPr="00B37C80" w:rsidRDefault="006C2454" w:rsidP="00481F21">
            <w:pPr>
              <w:spacing w:line="240" w:lineRule="auto"/>
              <w:jc w:val="both"/>
              <w:rPr>
                <w:rFonts w:ascii="Times New Roman" w:hAnsi="Times New Roman"/>
                <w:color w:val="000000"/>
                <w:spacing w:val="-2"/>
              </w:rPr>
            </w:pPr>
            <w:r>
              <w:rPr>
                <w:rFonts w:ascii="Times New Roman" w:hAnsi="Times New Roman"/>
                <w:color w:val="000000"/>
                <w:spacing w:val="-2"/>
              </w:rPr>
              <w:t xml:space="preserve">3-4) Brak wpływu: dane wprowadzane za pomocą </w:t>
            </w:r>
            <w:r w:rsidRPr="001D5349">
              <w:rPr>
                <w:rFonts w:ascii="Times New Roman" w:hAnsi="Times New Roman"/>
                <w:color w:val="000000"/>
                <w:spacing w:val="-2"/>
              </w:rPr>
              <w:t xml:space="preserve">centralnego rejestru świadectw charakterystyki energetycznej budynków </w:t>
            </w:r>
            <w:r>
              <w:rPr>
                <w:rFonts w:ascii="Times New Roman" w:hAnsi="Times New Roman"/>
                <w:color w:val="000000"/>
                <w:spacing w:val="-2"/>
              </w:rPr>
              <w:t xml:space="preserve">będą automatycznie </w:t>
            </w:r>
            <w:r>
              <w:rPr>
                <w:rFonts w:ascii="Times New Roman" w:hAnsi="Times New Roman"/>
                <w:color w:val="000000"/>
                <w:spacing w:val="-2"/>
              </w:rPr>
              <w:lastRenderedPageBreak/>
              <w:t xml:space="preserve">przekazywane do CEEB. </w:t>
            </w:r>
          </w:p>
        </w:tc>
      </w:tr>
      <w:tr w:rsidR="006C2454" w:rsidRPr="008B4FE6" w:rsidTr="00481F21">
        <w:trPr>
          <w:trHeight w:val="142"/>
        </w:trPr>
        <w:tc>
          <w:tcPr>
            <w:tcW w:w="2322" w:type="dxa"/>
            <w:gridSpan w:val="3"/>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color w:val="000000"/>
                <w:spacing w:val="-2"/>
              </w:rPr>
              <w:lastRenderedPageBreak/>
              <w:t>Wojewódzkie Inspektoraty Ochrony Środowiska</w:t>
            </w:r>
          </w:p>
        </w:tc>
        <w:tc>
          <w:tcPr>
            <w:tcW w:w="2393" w:type="dxa"/>
            <w:gridSpan w:val="4"/>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color w:val="000000"/>
                <w:spacing w:val="-2"/>
              </w:rPr>
              <w:t>16</w:t>
            </w:r>
          </w:p>
        </w:tc>
        <w:tc>
          <w:tcPr>
            <w:tcW w:w="3325" w:type="dxa"/>
            <w:gridSpan w:val="5"/>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spacing w:val="-2"/>
              </w:rPr>
              <w:t>Dane ogólnodostępne</w:t>
            </w:r>
          </w:p>
        </w:tc>
        <w:tc>
          <w:tcPr>
            <w:tcW w:w="2907" w:type="dxa"/>
            <w:gridSpan w:val="5"/>
            <w:shd w:val="clear" w:color="auto" w:fill="auto"/>
          </w:tcPr>
          <w:p w:rsidR="006C2454" w:rsidRPr="007F1803" w:rsidRDefault="006C2454" w:rsidP="00481F21">
            <w:pPr>
              <w:spacing w:line="240" w:lineRule="auto"/>
              <w:rPr>
                <w:rFonts w:ascii="Times New Roman" w:hAnsi="Times New Roman"/>
                <w:spacing w:val="-2"/>
              </w:rPr>
            </w:pPr>
            <w:r w:rsidRPr="007F1803">
              <w:rPr>
                <w:rFonts w:ascii="Times New Roman" w:hAnsi="Times New Roman"/>
                <w:spacing w:val="-2"/>
              </w:rPr>
              <w:t>Konieczność uwzględnienia w dokonywanych czynnościach kontrolnych wszystkich źródeł</w:t>
            </w:r>
            <w:r>
              <w:rPr>
                <w:rFonts w:ascii="Times New Roman" w:hAnsi="Times New Roman"/>
              </w:rPr>
              <w:t xml:space="preserve"> ciepła, </w:t>
            </w:r>
            <w:r w:rsidRPr="007F1803">
              <w:rPr>
                <w:rFonts w:ascii="Times New Roman" w:hAnsi="Times New Roman"/>
              </w:rPr>
              <w:t>spalania paliw</w:t>
            </w:r>
            <w:r>
              <w:rPr>
                <w:rFonts w:ascii="Times New Roman" w:hAnsi="Times New Roman"/>
              </w:rPr>
              <w:t>, źródeł energii elektrycznej</w:t>
            </w:r>
            <w:r w:rsidRPr="007F1803">
              <w:rPr>
                <w:rFonts w:ascii="Times New Roman" w:hAnsi="Times New Roman"/>
              </w:rPr>
              <w:t>, w ramach inwentaryzacji</w:t>
            </w:r>
            <w:r>
              <w:rPr>
                <w:rFonts w:ascii="Times New Roman" w:hAnsi="Times New Roman"/>
              </w:rPr>
              <w:t xml:space="preserve"> budynku</w:t>
            </w:r>
            <w:r w:rsidRPr="007F1803">
              <w:rPr>
                <w:rFonts w:ascii="Times New Roman" w:hAnsi="Times New Roman"/>
              </w:rPr>
              <w:t xml:space="preserve">, oraz przekazania do </w:t>
            </w:r>
            <w:r>
              <w:rPr>
                <w:rFonts w:ascii="Times New Roman" w:hAnsi="Times New Roman"/>
              </w:rPr>
              <w:t xml:space="preserve">CEEB </w:t>
            </w:r>
            <w:r w:rsidRPr="007F1803">
              <w:rPr>
                <w:rFonts w:ascii="Times New Roman" w:hAnsi="Times New Roman"/>
              </w:rPr>
              <w:t>danych</w:t>
            </w:r>
            <w:r>
              <w:rPr>
                <w:rFonts w:ascii="Times New Roman" w:hAnsi="Times New Roman"/>
              </w:rPr>
              <w:t xml:space="preserve"> </w:t>
            </w:r>
            <w:r w:rsidRPr="007F1803">
              <w:rPr>
                <w:rFonts w:ascii="Times New Roman" w:hAnsi="Times New Roman"/>
              </w:rPr>
              <w:t xml:space="preserve">za pośrednictwem systemu teleinformatycznego obsługującego </w:t>
            </w:r>
            <w:r w:rsidR="00DA3A1C">
              <w:rPr>
                <w:rFonts w:ascii="Times New Roman" w:hAnsi="Times New Roman"/>
              </w:rPr>
              <w:t>CEEB</w:t>
            </w:r>
            <w:r w:rsidRPr="007F1803">
              <w:rPr>
                <w:rFonts w:ascii="Times New Roman" w:hAnsi="Times New Roman"/>
              </w:rPr>
              <w:t xml:space="preserve">. </w:t>
            </w:r>
            <w:r>
              <w:rPr>
                <w:rFonts w:ascii="Times New Roman" w:hAnsi="Times New Roman"/>
                <w:color w:val="000000"/>
                <w:spacing w:val="-2"/>
              </w:rPr>
              <w:t xml:space="preserve">Udostępnienie danych </w:t>
            </w:r>
            <w:r w:rsidRPr="007F1803">
              <w:rPr>
                <w:rFonts w:ascii="Times New Roman" w:hAnsi="Times New Roman"/>
              </w:rPr>
              <w:t xml:space="preserve">zgromadzonych w </w:t>
            </w:r>
            <w:r w:rsidR="00C0242C">
              <w:rPr>
                <w:rFonts w:ascii="Times New Roman" w:hAnsi="Times New Roman"/>
                <w:color w:val="000000"/>
                <w:spacing w:val="-2"/>
              </w:rPr>
              <w:t>CEEB</w:t>
            </w:r>
            <w:r w:rsidRPr="007F1803">
              <w:rPr>
                <w:rFonts w:ascii="Times New Roman" w:hAnsi="Times New Roman"/>
              </w:rPr>
              <w:t xml:space="preserve"> w systemie teleinformatycznym.</w:t>
            </w:r>
            <w:r w:rsidRPr="007F1803">
              <w:rPr>
                <w:rFonts w:ascii="Times New Roman" w:hAnsi="Times New Roman"/>
                <w:spacing w:val="-2"/>
              </w:rPr>
              <w:t xml:space="preserve"> </w:t>
            </w:r>
          </w:p>
        </w:tc>
      </w:tr>
      <w:tr w:rsidR="006C2454" w:rsidRPr="008B4FE6" w:rsidTr="00481F21">
        <w:trPr>
          <w:gridAfter w:val="1"/>
          <w:wAfter w:w="9" w:type="dxa"/>
          <w:trHeight w:val="142"/>
        </w:trPr>
        <w:tc>
          <w:tcPr>
            <w:tcW w:w="2322" w:type="dxa"/>
            <w:gridSpan w:val="3"/>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color w:val="000000"/>
                <w:spacing w:val="-2"/>
              </w:rPr>
              <w:t>Główny Inspektorat Ochrony Środowiska</w:t>
            </w:r>
          </w:p>
        </w:tc>
        <w:tc>
          <w:tcPr>
            <w:tcW w:w="2393" w:type="dxa"/>
            <w:gridSpan w:val="4"/>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color w:val="000000"/>
                <w:spacing w:val="-2"/>
              </w:rPr>
              <w:t>1</w:t>
            </w:r>
          </w:p>
        </w:tc>
        <w:tc>
          <w:tcPr>
            <w:tcW w:w="3325" w:type="dxa"/>
            <w:gridSpan w:val="5"/>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spacing w:val="-2"/>
              </w:rPr>
              <w:t>Dane ogólnodostępne</w:t>
            </w:r>
          </w:p>
        </w:tc>
        <w:tc>
          <w:tcPr>
            <w:tcW w:w="2898" w:type="dxa"/>
            <w:gridSpan w:val="4"/>
            <w:shd w:val="clear" w:color="auto" w:fill="auto"/>
          </w:tcPr>
          <w:p w:rsidR="006C2454" w:rsidRPr="007F1803" w:rsidRDefault="006C2454" w:rsidP="00481F21">
            <w:pPr>
              <w:spacing w:line="240" w:lineRule="auto"/>
              <w:rPr>
                <w:rFonts w:ascii="Times New Roman" w:hAnsi="Times New Roman"/>
                <w:color w:val="000000"/>
                <w:spacing w:val="-2"/>
              </w:rPr>
            </w:pPr>
            <w:r w:rsidRPr="00EE29CA">
              <w:rPr>
                <w:rFonts w:ascii="Times New Roman" w:hAnsi="Times New Roman"/>
                <w:color w:val="000000"/>
                <w:spacing w:val="-2"/>
              </w:rPr>
              <w:t xml:space="preserve">Konieczność uwzględnienia w dokonywanych czynnościach kontrolnych wszystkich źródeł ciepła, spalania paliw, źródeł energii elektrycznej, w ramach </w:t>
            </w:r>
            <w:r w:rsidRPr="00EE29CA">
              <w:rPr>
                <w:rFonts w:ascii="Times New Roman" w:hAnsi="Times New Roman"/>
                <w:color w:val="000000"/>
                <w:spacing w:val="-2"/>
              </w:rPr>
              <w:lastRenderedPageBreak/>
              <w:t xml:space="preserve">inwentaryzacji budynku, oraz przekazania do CEEB danych za pośrednictwem systemu teleinformatycznego obsługującego </w:t>
            </w:r>
            <w:r w:rsidR="00DA3A1C">
              <w:rPr>
                <w:rFonts w:ascii="Times New Roman" w:hAnsi="Times New Roman"/>
                <w:color w:val="000000"/>
                <w:spacing w:val="-2"/>
              </w:rPr>
              <w:t>CEEB</w:t>
            </w:r>
            <w:r w:rsidRPr="00EE29CA">
              <w:rPr>
                <w:rFonts w:ascii="Times New Roman" w:hAnsi="Times New Roman"/>
                <w:color w:val="000000"/>
                <w:spacing w:val="-2"/>
              </w:rPr>
              <w:t xml:space="preserve">. Udostępnienie danych zgromadzonych w </w:t>
            </w:r>
            <w:r w:rsidR="00C0242C">
              <w:rPr>
                <w:rFonts w:ascii="Times New Roman" w:hAnsi="Times New Roman"/>
                <w:color w:val="000000"/>
                <w:spacing w:val="-2"/>
              </w:rPr>
              <w:t>CEEB</w:t>
            </w:r>
            <w:r w:rsidRPr="00EE29CA">
              <w:rPr>
                <w:rFonts w:ascii="Times New Roman" w:hAnsi="Times New Roman"/>
                <w:color w:val="000000"/>
                <w:spacing w:val="-2"/>
              </w:rPr>
              <w:t xml:space="preserve"> w systemie teleinformatycznym. </w:t>
            </w:r>
          </w:p>
        </w:tc>
      </w:tr>
      <w:tr w:rsidR="006C2454" w:rsidRPr="008B4FE6" w:rsidTr="00481F21">
        <w:trPr>
          <w:gridAfter w:val="1"/>
          <w:wAfter w:w="9" w:type="dxa"/>
          <w:trHeight w:val="142"/>
        </w:trPr>
        <w:tc>
          <w:tcPr>
            <w:tcW w:w="2322" w:type="dxa"/>
            <w:gridSpan w:val="3"/>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color w:val="000000"/>
                <w:spacing w:val="-2"/>
              </w:rPr>
              <w:lastRenderedPageBreak/>
              <w:t>Powiatowe Inspektoraty Nadzoru Budowlanego</w:t>
            </w:r>
          </w:p>
        </w:tc>
        <w:tc>
          <w:tcPr>
            <w:tcW w:w="2393" w:type="dxa"/>
            <w:gridSpan w:val="4"/>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color w:val="000000"/>
                <w:spacing w:val="-2"/>
              </w:rPr>
              <w:t>380</w:t>
            </w:r>
          </w:p>
        </w:tc>
        <w:tc>
          <w:tcPr>
            <w:tcW w:w="3325" w:type="dxa"/>
            <w:gridSpan w:val="5"/>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spacing w:val="-2"/>
              </w:rPr>
              <w:t>Dane ogólnodostępne</w:t>
            </w:r>
          </w:p>
        </w:tc>
        <w:tc>
          <w:tcPr>
            <w:tcW w:w="2898" w:type="dxa"/>
            <w:gridSpan w:val="4"/>
            <w:shd w:val="clear" w:color="auto" w:fill="auto"/>
          </w:tcPr>
          <w:p w:rsidR="006C2454" w:rsidRPr="007F1803" w:rsidRDefault="006C2454" w:rsidP="00481F21">
            <w:pPr>
              <w:spacing w:line="240" w:lineRule="auto"/>
              <w:rPr>
                <w:rFonts w:ascii="Times New Roman" w:hAnsi="Times New Roman"/>
                <w:color w:val="000000"/>
                <w:spacing w:val="-2"/>
              </w:rPr>
            </w:pPr>
            <w:r>
              <w:rPr>
                <w:rFonts w:ascii="Times New Roman" w:hAnsi="Times New Roman"/>
                <w:color w:val="000000"/>
                <w:spacing w:val="-2"/>
              </w:rPr>
              <w:t>Udostępnienie</w:t>
            </w:r>
            <w:r w:rsidRPr="007F1803">
              <w:rPr>
                <w:rFonts w:ascii="Times New Roman" w:hAnsi="Times New Roman"/>
                <w:color w:val="000000"/>
                <w:spacing w:val="-2"/>
              </w:rPr>
              <w:t xml:space="preserve"> danych zgromadzonych w </w:t>
            </w:r>
            <w:r w:rsidR="00C0242C">
              <w:rPr>
                <w:rFonts w:ascii="Times New Roman" w:hAnsi="Times New Roman"/>
                <w:color w:val="000000"/>
                <w:spacing w:val="-2"/>
              </w:rPr>
              <w:t>CEEB</w:t>
            </w:r>
            <w:r w:rsidRPr="007F1803">
              <w:rPr>
                <w:rFonts w:ascii="Times New Roman" w:hAnsi="Times New Roman"/>
                <w:color w:val="000000"/>
                <w:spacing w:val="-2"/>
              </w:rPr>
              <w:t xml:space="preserve"> w systemie teleinformatycznym.</w:t>
            </w:r>
          </w:p>
        </w:tc>
      </w:tr>
      <w:tr w:rsidR="006C2454" w:rsidRPr="008B4FE6" w:rsidTr="00481F21">
        <w:trPr>
          <w:gridAfter w:val="1"/>
          <w:wAfter w:w="9" w:type="dxa"/>
          <w:trHeight w:val="142"/>
        </w:trPr>
        <w:tc>
          <w:tcPr>
            <w:tcW w:w="2322" w:type="dxa"/>
            <w:gridSpan w:val="3"/>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color w:val="000000"/>
                <w:spacing w:val="-2"/>
              </w:rPr>
              <w:t>Wojewódzkie Inspektoraty Nadzoru Budowlanego</w:t>
            </w:r>
          </w:p>
        </w:tc>
        <w:tc>
          <w:tcPr>
            <w:tcW w:w="2393" w:type="dxa"/>
            <w:gridSpan w:val="4"/>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color w:val="000000"/>
                <w:spacing w:val="-2"/>
              </w:rPr>
              <w:t>16</w:t>
            </w:r>
          </w:p>
        </w:tc>
        <w:tc>
          <w:tcPr>
            <w:tcW w:w="3325" w:type="dxa"/>
            <w:gridSpan w:val="5"/>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spacing w:val="-2"/>
              </w:rPr>
              <w:t>Dane ogólnodostępne</w:t>
            </w:r>
          </w:p>
        </w:tc>
        <w:tc>
          <w:tcPr>
            <w:tcW w:w="2898" w:type="dxa"/>
            <w:gridSpan w:val="4"/>
            <w:shd w:val="clear" w:color="auto" w:fill="auto"/>
          </w:tcPr>
          <w:p w:rsidR="006C2454" w:rsidRPr="007F1803" w:rsidRDefault="006C2454" w:rsidP="00481F21">
            <w:pPr>
              <w:spacing w:line="240" w:lineRule="auto"/>
              <w:rPr>
                <w:rFonts w:ascii="Times New Roman" w:hAnsi="Times New Roman"/>
                <w:color w:val="000000"/>
                <w:spacing w:val="-2"/>
              </w:rPr>
            </w:pPr>
            <w:r>
              <w:rPr>
                <w:rFonts w:ascii="Times New Roman" w:hAnsi="Times New Roman"/>
                <w:color w:val="000000"/>
                <w:spacing w:val="-2"/>
              </w:rPr>
              <w:t xml:space="preserve">Udostępnienie danych </w:t>
            </w:r>
            <w:r w:rsidRPr="007F1803">
              <w:rPr>
                <w:rFonts w:ascii="Times New Roman" w:hAnsi="Times New Roman"/>
                <w:color w:val="000000"/>
                <w:spacing w:val="-2"/>
              </w:rPr>
              <w:t xml:space="preserve">zgromadzonych w </w:t>
            </w:r>
            <w:r w:rsidR="00C0242C">
              <w:rPr>
                <w:rFonts w:ascii="Times New Roman" w:hAnsi="Times New Roman"/>
                <w:color w:val="000000"/>
                <w:spacing w:val="-2"/>
              </w:rPr>
              <w:t>CEEB</w:t>
            </w:r>
            <w:r w:rsidRPr="007F1803">
              <w:rPr>
                <w:rFonts w:ascii="Times New Roman" w:hAnsi="Times New Roman"/>
                <w:color w:val="000000"/>
                <w:spacing w:val="-2"/>
              </w:rPr>
              <w:t xml:space="preserve"> w systemie teleinformatycznym.</w:t>
            </w:r>
          </w:p>
        </w:tc>
      </w:tr>
      <w:tr w:rsidR="006C2454" w:rsidRPr="008B4FE6" w:rsidTr="00481F21">
        <w:trPr>
          <w:gridAfter w:val="1"/>
          <w:wAfter w:w="9" w:type="dxa"/>
          <w:trHeight w:val="142"/>
        </w:trPr>
        <w:tc>
          <w:tcPr>
            <w:tcW w:w="2322" w:type="dxa"/>
            <w:gridSpan w:val="3"/>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color w:val="000000"/>
                <w:spacing w:val="-2"/>
              </w:rPr>
              <w:t>Główny Urząd Nadzoru Budowlanego</w:t>
            </w:r>
          </w:p>
        </w:tc>
        <w:tc>
          <w:tcPr>
            <w:tcW w:w="2393" w:type="dxa"/>
            <w:gridSpan w:val="4"/>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color w:val="000000"/>
                <w:spacing w:val="-2"/>
              </w:rPr>
              <w:t>1</w:t>
            </w:r>
          </w:p>
        </w:tc>
        <w:tc>
          <w:tcPr>
            <w:tcW w:w="3325" w:type="dxa"/>
            <w:gridSpan w:val="5"/>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spacing w:val="-2"/>
              </w:rPr>
              <w:t>Dane ogólnodostępne</w:t>
            </w:r>
          </w:p>
        </w:tc>
        <w:tc>
          <w:tcPr>
            <w:tcW w:w="2898" w:type="dxa"/>
            <w:gridSpan w:val="4"/>
            <w:shd w:val="clear" w:color="auto" w:fill="auto"/>
          </w:tcPr>
          <w:p w:rsidR="006C2454" w:rsidRPr="007F1803" w:rsidRDefault="006C2454" w:rsidP="00481F21">
            <w:pPr>
              <w:spacing w:line="240" w:lineRule="auto"/>
              <w:rPr>
                <w:rFonts w:ascii="Times New Roman" w:hAnsi="Times New Roman"/>
                <w:color w:val="000000"/>
                <w:spacing w:val="-2"/>
              </w:rPr>
            </w:pPr>
            <w:r>
              <w:rPr>
                <w:rFonts w:ascii="Times New Roman" w:hAnsi="Times New Roman"/>
                <w:color w:val="000000"/>
                <w:spacing w:val="-2"/>
              </w:rPr>
              <w:t xml:space="preserve">Udostępnienie danych </w:t>
            </w:r>
            <w:r w:rsidRPr="007F1803">
              <w:rPr>
                <w:rFonts w:ascii="Times New Roman" w:hAnsi="Times New Roman"/>
                <w:color w:val="000000"/>
                <w:spacing w:val="-2"/>
              </w:rPr>
              <w:t xml:space="preserve">zgromadzonych w </w:t>
            </w:r>
            <w:r w:rsidR="00C0242C">
              <w:rPr>
                <w:rFonts w:ascii="Times New Roman" w:hAnsi="Times New Roman"/>
                <w:color w:val="000000"/>
                <w:spacing w:val="-2"/>
              </w:rPr>
              <w:t>CEEB</w:t>
            </w:r>
            <w:r w:rsidRPr="007F1803">
              <w:rPr>
                <w:rFonts w:ascii="Times New Roman" w:hAnsi="Times New Roman"/>
                <w:color w:val="000000"/>
                <w:spacing w:val="-2"/>
              </w:rPr>
              <w:t xml:space="preserve"> w systemie teleinformatycznym.</w:t>
            </w:r>
          </w:p>
        </w:tc>
      </w:tr>
      <w:tr w:rsidR="006C2454" w:rsidRPr="008B4FE6" w:rsidTr="00481F21">
        <w:trPr>
          <w:gridAfter w:val="1"/>
          <w:wAfter w:w="9" w:type="dxa"/>
          <w:trHeight w:val="142"/>
        </w:trPr>
        <w:tc>
          <w:tcPr>
            <w:tcW w:w="2322" w:type="dxa"/>
            <w:gridSpan w:val="3"/>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color w:val="000000"/>
                <w:spacing w:val="-2"/>
              </w:rPr>
              <w:t>Narodowy Fundusz Ochrony Środowiska i Gospodarki Wodnej</w:t>
            </w:r>
            <w:r w:rsidR="000707B1">
              <w:rPr>
                <w:rFonts w:ascii="Times New Roman" w:hAnsi="Times New Roman"/>
                <w:color w:val="000000"/>
                <w:spacing w:val="-2"/>
              </w:rPr>
              <w:t xml:space="preserve"> (NFOŚiGW)</w:t>
            </w:r>
          </w:p>
        </w:tc>
        <w:tc>
          <w:tcPr>
            <w:tcW w:w="2393" w:type="dxa"/>
            <w:gridSpan w:val="4"/>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color w:val="000000"/>
                <w:spacing w:val="-2"/>
              </w:rPr>
              <w:t>1</w:t>
            </w:r>
          </w:p>
        </w:tc>
        <w:tc>
          <w:tcPr>
            <w:tcW w:w="3325" w:type="dxa"/>
            <w:gridSpan w:val="5"/>
            <w:shd w:val="clear" w:color="auto" w:fill="auto"/>
          </w:tcPr>
          <w:p w:rsidR="006C2454" w:rsidRPr="007F1803" w:rsidRDefault="006C2454" w:rsidP="00481F21">
            <w:pPr>
              <w:spacing w:line="240" w:lineRule="auto"/>
              <w:rPr>
                <w:rFonts w:ascii="Times New Roman" w:hAnsi="Times New Roman"/>
                <w:color w:val="000000"/>
                <w:spacing w:val="-2"/>
              </w:rPr>
            </w:pPr>
            <w:r w:rsidRPr="007F1803">
              <w:rPr>
                <w:rFonts w:ascii="Times New Roman" w:hAnsi="Times New Roman"/>
                <w:spacing w:val="-2"/>
              </w:rPr>
              <w:t>Dane ogólnodostępne</w:t>
            </w:r>
          </w:p>
        </w:tc>
        <w:tc>
          <w:tcPr>
            <w:tcW w:w="2898" w:type="dxa"/>
            <w:gridSpan w:val="4"/>
            <w:shd w:val="clear" w:color="auto" w:fill="auto"/>
          </w:tcPr>
          <w:p w:rsidR="006C2454" w:rsidRDefault="006C2454" w:rsidP="00481F21">
            <w:pPr>
              <w:spacing w:line="240" w:lineRule="auto"/>
              <w:rPr>
                <w:rFonts w:ascii="Times New Roman" w:hAnsi="Times New Roman"/>
              </w:rPr>
            </w:pPr>
            <w:r w:rsidRPr="007F1803">
              <w:rPr>
                <w:rFonts w:ascii="Times New Roman" w:hAnsi="Times New Roman"/>
                <w:spacing w:val="-2"/>
              </w:rPr>
              <w:t xml:space="preserve">Konieczność uwzględnienia w dokonywanych czynnościach </w:t>
            </w:r>
            <w:r>
              <w:rPr>
                <w:rFonts w:ascii="Times New Roman" w:hAnsi="Times New Roman"/>
                <w:spacing w:val="-2"/>
              </w:rPr>
              <w:t xml:space="preserve">informacji o </w:t>
            </w:r>
            <w:r w:rsidRPr="007F1803">
              <w:rPr>
                <w:rFonts w:ascii="Times New Roman" w:hAnsi="Times New Roman"/>
              </w:rPr>
              <w:t xml:space="preserve">udzielonym ze środków publicznych dofinansowaniu przedsięwzięć związanych z ochroną </w:t>
            </w:r>
            <w:r w:rsidRPr="007F1803">
              <w:rPr>
                <w:rFonts w:ascii="Times New Roman" w:hAnsi="Times New Roman"/>
              </w:rPr>
              <w:lastRenderedPageBreak/>
              <w:t xml:space="preserve">powietrza, oraz przekazania do </w:t>
            </w:r>
            <w:r>
              <w:rPr>
                <w:rFonts w:ascii="Times New Roman" w:hAnsi="Times New Roman"/>
              </w:rPr>
              <w:t xml:space="preserve">CEEB danych </w:t>
            </w:r>
            <w:r w:rsidRPr="007F1803">
              <w:rPr>
                <w:rFonts w:ascii="Times New Roman" w:hAnsi="Times New Roman"/>
              </w:rPr>
              <w:t>w tym zakresie</w:t>
            </w:r>
            <w:r>
              <w:rPr>
                <w:rFonts w:ascii="Times New Roman" w:hAnsi="Times New Roman"/>
              </w:rPr>
              <w:t xml:space="preserve"> </w:t>
            </w:r>
            <w:r w:rsidRPr="007F1803">
              <w:rPr>
                <w:rFonts w:ascii="Times New Roman" w:hAnsi="Times New Roman"/>
              </w:rPr>
              <w:t xml:space="preserve">za pośrednictwem systemu teleinformatycznego obsługującego </w:t>
            </w:r>
            <w:r w:rsidR="00C0242C">
              <w:rPr>
                <w:rFonts w:ascii="Times New Roman" w:hAnsi="Times New Roman"/>
                <w:color w:val="000000"/>
                <w:spacing w:val="-2"/>
              </w:rPr>
              <w:t>CEEB</w:t>
            </w:r>
            <w:r w:rsidRPr="007F1803">
              <w:rPr>
                <w:rFonts w:ascii="Times New Roman" w:hAnsi="Times New Roman"/>
              </w:rPr>
              <w:t xml:space="preserve">. </w:t>
            </w:r>
            <w:r>
              <w:rPr>
                <w:rFonts w:ascii="Times New Roman" w:hAnsi="Times New Roman"/>
                <w:color w:val="000000"/>
                <w:spacing w:val="-2"/>
              </w:rPr>
              <w:t xml:space="preserve">Udostępnienie danych </w:t>
            </w:r>
            <w:r w:rsidRPr="007F1803">
              <w:rPr>
                <w:rFonts w:ascii="Times New Roman" w:hAnsi="Times New Roman"/>
              </w:rPr>
              <w:t xml:space="preserve">zgromadzonych w </w:t>
            </w:r>
            <w:r w:rsidR="00DA3A1C">
              <w:rPr>
                <w:rFonts w:ascii="Times New Roman" w:hAnsi="Times New Roman"/>
              </w:rPr>
              <w:t>CEEB</w:t>
            </w:r>
            <w:r w:rsidRPr="007F1803">
              <w:rPr>
                <w:rFonts w:ascii="Times New Roman" w:hAnsi="Times New Roman"/>
              </w:rPr>
              <w:t xml:space="preserve"> w systemie teleinformatycznym.</w:t>
            </w:r>
            <w:r w:rsidR="008039C4">
              <w:rPr>
                <w:rFonts w:ascii="Times New Roman" w:hAnsi="Times New Roman"/>
              </w:rPr>
              <w:t xml:space="preserve"> P</w:t>
            </w:r>
            <w:r w:rsidR="008039C4" w:rsidRPr="008039C4">
              <w:rPr>
                <w:rFonts w:ascii="Times New Roman" w:hAnsi="Times New Roman"/>
              </w:rPr>
              <w:t>rojekt nie modyfikuje zasad udostępniania środków NFO</w:t>
            </w:r>
            <w:r w:rsidR="008039C4">
              <w:rPr>
                <w:rFonts w:ascii="Times New Roman" w:hAnsi="Times New Roman"/>
              </w:rPr>
              <w:t>Śi</w:t>
            </w:r>
            <w:r w:rsidR="008039C4" w:rsidRPr="008039C4">
              <w:rPr>
                <w:rFonts w:ascii="Times New Roman" w:hAnsi="Times New Roman"/>
              </w:rPr>
              <w:t>GW dla wojewódzkich funduszy</w:t>
            </w:r>
            <w:r w:rsidR="008039C4">
              <w:rPr>
                <w:rFonts w:ascii="Times New Roman" w:hAnsi="Times New Roman"/>
              </w:rPr>
              <w:t xml:space="preserve">, lecz </w:t>
            </w:r>
            <w:r w:rsidR="008039C4" w:rsidRPr="008039C4">
              <w:rPr>
                <w:rFonts w:ascii="Times New Roman" w:hAnsi="Times New Roman"/>
              </w:rPr>
              <w:t xml:space="preserve">porządkuje obecne regulacje i usprawnia wzajemną współpracę pomiędzy NFOŚiGW oraz WFOŚiGW.  </w:t>
            </w:r>
          </w:p>
          <w:p w:rsidR="00900458" w:rsidRPr="007F1803" w:rsidRDefault="00900458" w:rsidP="00900458">
            <w:pPr>
              <w:spacing w:line="240" w:lineRule="auto"/>
              <w:rPr>
                <w:rFonts w:ascii="Times New Roman" w:hAnsi="Times New Roman"/>
                <w:color w:val="000000"/>
                <w:spacing w:val="-2"/>
              </w:rPr>
            </w:pPr>
            <w:r>
              <w:rPr>
                <w:rFonts w:ascii="Times New Roman" w:hAnsi="Times New Roman"/>
              </w:rPr>
              <w:t xml:space="preserve">Projekt wprowadza możliwość przekazywania środków NFOŚiGW </w:t>
            </w:r>
            <w:r w:rsidRPr="00900458">
              <w:rPr>
                <w:rFonts w:ascii="Times New Roman" w:hAnsi="Times New Roman"/>
              </w:rPr>
              <w:t>do Funduszu Poręczeń i Gwarancji Czyste Powietrze</w:t>
            </w:r>
            <w:r>
              <w:rPr>
                <w:rFonts w:ascii="Times New Roman" w:hAnsi="Times New Roman"/>
              </w:rPr>
              <w:t xml:space="preserve"> w Banku Gospodarstwa Krajowego.</w:t>
            </w:r>
          </w:p>
        </w:tc>
      </w:tr>
      <w:tr w:rsidR="006C2454" w:rsidRPr="008B4FE6" w:rsidTr="00481F21">
        <w:trPr>
          <w:gridAfter w:val="1"/>
          <w:wAfter w:w="9" w:type="dxa"/>
          <w:trHeight w:val="142"/>
        </w:trPr>
        <w:tc>
          <w:tcPr>
            <w:tcW w:w="2322" w:type="dxa"/>
            <w:gridSpan w:val="3"/>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rPr>
              <w:lastRenderedPageBreak/>
              <w:t xml:space="preserve">Wojewódzkie Fundusze </w:t>
            </w:r>
            <w:r w:rsidRPr="00F41AC6">
              <w:rPr>
                <w:rFonts w:ascii="Times New Roman" w:hAnsi="Times New Roman"/>
              </w:rPr>
              <w:lastRenderedPageBreak/>
              <w:t xml:space="preserve">Ochrony Środowiska i </w:t>
            </w:r>
            <w:r w:rsidRPr="00F41AC6">
              <w:rPr>
                <w:rFonts w:ascii="Times New Roman" w:hAnsi="Times New Roman"/>
                <w:color w:val="000000"/>
                <w:spacing w:val="-2"/>
              </w:rPr>
              <w:t xml:space="preserve"> Gospodarki Wodnej</w:t>
            </w:r>
            <w:r w:rsidR="002A325F">
              <w:rPr>
                <w:rFonts w:ascii="Times New Roman" w:hAnsi="Times New Roman"/>
                <w:color w:val="000000"/>
                <w:spacing w:val="-2"/>
              </w:rPr>
              <w:t xml:space="preserve"> (WFOŚiGW)</w:t>
            </w:r>
          </w:p>
        </w:tc>
        <w:tc>
          <w:tcPr>
            <w:tcW w:w="2393"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lastRenderedPageBreak/>
              <w:t>16</w:t>
            </w:r>
          </w:p>
        </w:tc>
        <w:tc>
          <w:tcPr>
            <w:tcW w:w="3325" w:type="dxa"/>
            <w:gridSpan w:val="5"/>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spacing w:val="-2"/>
              </w:rPr>
              <w:t>Dane ogólnodostępne</w:t>
            </w:r>
          </w:p>
        </w:tc>
        <w:tc>
          <w:tcPr>
            <w:tcW w:w="2898" w:type="dxa"/>
            <w:gridSpan w:val="4"/>
            <w:shd w:val="clear" w:color="auto" w:fill="auto"/>
          </w:tcPr>
          <w:p w:rsidR="006C2454" w:rsidRPr="00F41AC6" w:rsidRDefault="006C2454" w:rsidP="00900458">
            <w:pPr>
              <w:spacing w:line="240" w:lineRule="auto"/>
              <w:rPr>
                <w:rFonts w:ascii="Times New Roman" w:hAnsi="Times New Roman"/>
                <w:color w:val="000000"/>
                <w:spacing w:val="-2"/>
              </w:rPr>
            </w:pPr>
            <w:r w:rsidRPr="007F1803">
              <w:rPr>
                <w:rFonts w:ascii="Times New Roman" w:hAnsi="Times New Roman"/>
                <w:spacing w:val="-2"/>
              </w:rPr>
              <w:t xml:space="preserve">Konieczność uwzględnienia w </w:t>
            </w:r>
            <w:r w:rsidRPr="007F1803">
              <w:rPr>
                <w:rFonts w:ascii="Times New Roman" w:hAnsi="Times New Roman"/>
                <w:spacing w:val="-2"/>
              </w:rPr>
              <w:lastRenderedPageBreak/>
              <w:t xml:space="preserve">dokonywanych czynnościach </w:t>
            </w:r>
            <w:r>
              <w:rPr>
                <w:rFonts w:ascii="Times New Roman" w:hAnsi="Times New Roman"/>
                <w:spacing w:val="-2"/>
              </w:rPr>
              <w:t xml:space="preserve">informacji o </w:t>
            </w:r>
            <w:r w:rsidRPr="007F1803">
              <w:rPr>
                <w:rFonts w:ascii="Times New Roman" w:hAnsi="Times New Roman"/>
              </w:rPr>
              <w:t xml:space="preserve">udzielonym ze środków publicznych dofinansowaniu przedsięwzięć związanych z ochroną powietrza, oraz przekazania do </w:t>
            </w:r>
            <w:r>
              <w:rPr>
                <w:rFonts w:ascii="Times New Roman" w:hAnsi="Times New Roman"/>
              </w:rPr>
              <w:t xml:space="preserve">CEEB danych </w:t>
            </w:r>
            <w:r w:rsidRPr="007F1803">
              <w:rPr>
                <w:rFonts w:ascii="Times New Roman" w:hAnsi="Times New Roman"/>
              </w:rPr>
              <w:t>w tym zakresie</w:t>
            </w:r>
            <w:r>
              <w:rPr>
                <w:rFonts w:ascii="Times New Roman" w:hAnsi="Times New Roman"/>
              </w:rPr>
              <w:t xml:space="preserve"> </w:t>
            </w:r>
            <w:r w:rsidRPr="007F1803">
              <w:rPr>
                <w:rFonts w:ascii="Times New Roman" w:hAnsi="Times New Roman"/>
              </w:rPr>
              <w:t xml:space="preserve">za pośrednictwem systemu teleinformatycznego obsługującego </w:t>
            </w:r>
            <w:r w:rsidR="00C0242C">
              <w:rPr>
                <w:rFonts w:ascii="Times New Roman" w:hAnsi="Times New Roman"/>
                <w:color w:val="000000"/>
                <w:spacing w:val="-2"/>
              </w:rPr>
              <w:t>CEEB</w:t>
            </w:r>
            <w:r w:rsidRPr="007F1803">
              <w:rPr>
                <w:rFonts w:ascii="Times New Roman" w:hAnsi="Times New Roman"/>
              </w:rPr>
              <w:t xml:space="preserve">. </w:t>
            </w:r>
            <w:r>
              <w:rPr>
                <w:rFonts w:ascii="Times New Roman" w:hAnsi="Times New Roman"/>
                <w:color w:val="000000"/>
                <w:spacing w:val="-2"/>
              </w:rPr>
              <w:t xml:space="preserve">Udostępnienie danych </w:t>
            </w:r>
            <w:r w:rsidRPr="007F1803">
              <w:rPr>
                <w:rFonts w:ascii="Times New Roman" w:hAnsi="Times New Roman"/>
              </w:rPr>
              <w:t xml:space="preserve">zgromadzonych w </w:t>
            </w:r>
            <w:r w:rsidR="00C0242C">
              <w:rPr>
                <w:rFonts w:ascii="Times New Roman" w:hAnsi="Times New Roman"/>
                <w:color w:val="000000"/>
                <w:spacing w:val="-2"/>
              </w:rPr>
              <w:t>CEEB</w:t>
            </w:r>
            <w:r w:rsidRPr="007F1803">
              <w:rPr>
                <w:rFonts w:ascii="Times New Roman" w:hAnsi="Times New Roman"/>
              </w:rPr>
              <w:t xml:space="preserve"> w systemie teleinformatycznym.</w:t>
            </w:r>
            <w:r w:rsidR="00900458">
              <w:rPr>
                <w:rFonts w:ascii="Times New Roman" w:hAnsi="Times New Roman"/>
              </w:rPr>
              <w:t xml:space="preserve"> Projekt wprowadza możliwość przekazywania środków WFOŚiGW </w:t>
            </w:r>
            <w:r w:rsidR="00900458" w:rsidRPr="00900458">
              <w:rPr>
                <w:rFonts w:ascii="Times New Roman" w:hAnsi="Times New Roman"/>
              </w:rPr>
              <w:t>do Funduszu Poręczeń i Gwarancji Czyste Powietrze</w:t>
            </w:r>
            <w:r w:rsidR="00900458">
              <w:rPr>
                <w:rFonts w:ascii="Times New Roman" w:hAnsi="Times New Roman"/>
              </w:rPr>
              <w:t xml:space="preserve"> w Banku Gospodarstwa Krajowego.</w:t>
            </w:r>
          </w:p>
        </w:tc>
      </w:tr>
      <w:tr w:rsidR="006C2454" w:rsidRPr="008B4FE6" w:rsidTr="00481F21">
        <w:trPr>
          <w:gridAfter w:val="1"/>
          <w:wAfter w:w="9" w:type="dxa"/>
          <w:trHeight w:val="142"/>
        </w:trPr>
        <w:tc>
          <w:tcPr>
            <w:tcW w:w="2322" w:type="dxa"/>
            <w:gridSpan w:val="3"/>
            <w:shd w:val="clear" w:color="auto" w:fill="auto"/>
          </w:tcPr>
          <w:p w:rsidR="006C2454" w:rsidRPr="00F41AC6" w:rsidRDefault="006C2454" w:rsidP="00481F21">
            <w:pPr>
              <w:spacing w:line="240" w:lineRule="auto"/>
              <w:rPr>
                <w:rFonts w:ascii="Times New Roman" w:hAnsi="Times New Roman"/>
              </w:rPr>
            </w:pPr>
            <w:r w:rsidRPr="00F41AC6">
              <w:rPr>
                <w:rFonts w:ascii="Times New Roman" w:hAnsi="Times New Roman"/>
              </w:rPr>
              <w:lastRenderedPageBreak/>
              <w:t>Bank Gospodarstwa Krajowego</w:t>
            </w:r>
          </w:p>
        </w:tc>
        <w:tc>
          <w:tcPr>
            <w:tcW w:w="2393"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1</w:t>
            </w:r>
          </w:p>
        </w:tc>
        <w:tc>
          <w:tcPr>
            <w:tcW w:w="3325" w:type="dxa"/>
            <w:gridSpan w:val="5"/>
            <w:shd w:val="clear" w:color="auto" w:fill="auto"/>
          </w:tcPr>
          <w:p w:rsidR="006C2454" w:rsidRPr="00F41AC6" w:rsidRDefault="006C2454" w:rsidP="00481F21">
            <w:pPr>
              <w:spacing w:line="240" w:lineRule="auto"/>
              <w:rPr>
                <w:rFonts w:ascii="Times New Roman" w:hAnsi="Times New Roman"/>
                <w:spacing w:val="-2"/>
              </w:rPr>
            </w:pPr>
            <w:r w:rsidRPr="00F41AC6">
              <w:rPr>
                <w:rFonts w:ascii="Times New Roman" w:hAnsi="Times New Roman"/>
                <w:spacing w:val="-2"/>
              </w:rPr>
              <w:t>Dane ogólnodostępne</w:t>
            </w:r>
          </w:p>
        </w:tc>
        <w:tc>
          <w:tcPr>
            <w:tcW w:w="2898"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EE29CA">
              <w:rPr>
                <w:rFonts w:ascii="Times New Roman" w:hAnsi="Times New Roman"/>
                <w:color w:val="000000"/>
                <w:spacing w:val="-2"/>
              </w:rPr>
              <w:t xml:space="preserve">Konieczność uwzględnienia w dokonywanych czynnościach związanych  z </w:t>
            </w:r>
            <w:r w:rsidRPr="00EE29CA">
              <w:rPr>
                <w:rFonts w:ascii="Times New Roman" w:hAnsi="Times New Roman"/>
                <w:color w:val="000000"/>
                <w:spacing w:val="-2"/>
              </w:rPr>
              <w:lastRenderedPageBreak/>
              <w:t xml:space="preserve">danymi o przyznanej premii lub udzielonym ze środków publicznych dofinansowaniu przedsięwzięć związanych z ochroną powietrza, oraz przekazania do CEEB </w:t>
            </w:r>
            <w:r>
              <w:rPr>
                <w:rFonts w:ascii="Times New Roman" w:hAnsi="Times New Roman"/>
                <w:color w:val="000000"/>
                <w:spacing w:val="-2"/>
              </w:rPr>
              <w:t xml:space="preserve">danych </w:t>
            </w:r>
            <w:r w:rsidRPr="00EE29CA">
              <w:rPr>
                <w:rFonts w:ascii="Times New Roman" w:hAnsi="Times New Roman"/>
                <w:color w:val="000000"/>
                <w:spacing w:val="-2"/>
              </w:rPr>
              <w:t>w tym zakresie</w:t>
            </w:r>
            <w:r>
              <w:rPr>
                <w:rFonts w:ascii="Times New Roman" w:hAnsi="Times New Roman"/>
                <w:color w:val="000000"/>
                <w:spacing w:val="-2"/>
              </w:rPr>
              <w:t xml:space="preserve"> </w:t>
            </w:r>
            <w:r w:rsidRPr="00EE29CA">
              <w:rPr>
                <w:rFonts w:ascii="Times New Roman" w:hAnsi="Times New Roman"/>
                <w:color w:val="000000"/>
                <w:spacing w:val="-2"/>
              </w:rPr>
              <w:t xml:space="preserve">za pośrednictwem systemu teleinformatycznego obsługującego </w:t>
            </w:r>
            <w:r w:rsidR="00DA3A1C">
              <w:rPr>
                <w:rFonts w:ascii="Times New Roman" w:hAnsi="Times New Roman"/>
                <w:color w:val="000000"/>
                <w:spacing w:val="-2"/>
              </w:rPr>
              <w:t>CEEB</w:t>
            </w:r>
            <w:r w:rsidRPr="00EE29CA">
              <w:rPr>
                <w:rFonts w:ascii="Times New Roman" w:hAnsi="Times New Roman"/>
                <w:color w:val="000000"/>
                <w:spacing w:val="-2"/>
              </w:rPr>
              <w:t xml:space="preserve">. Udostępnienie danych zgromadzonych w </w:t>
            </w:r>
            <w:r w:rsidR="00C0242C">
              <w:rPr>
                <w:rFonts w:ascii="Times New Roman" w:hAnsi="Times New Roman"/>
                <w:color w:val="000000"/>
                <w:spacing w:val="-2"/>
              </w:rPr>
              <w:t>CEEB</w:t>
            </w:r>
            <w:r w:rsidRPr="00EE29CA">
              <w:rPr>
                <w:rFonts w:ascii="Times New Roman" w:hAnsi="Times New Roman"/>
                <w:color w:val="000000"/>
                <w:spacing w:val="-2"/>
              </w:rPr>
              <w:t xml:space="preserve"> w systemie teleinformatycznym.</w:t>
            </w:r>
            <w:r w:rsidR="008039C4">
              <w:rPr>
                <w:rFonts w:ascii="Times New Roman" w:hAnsi="Times New Roman"/>
                <w:color w:val="000000"/>
                <w:spacing w:val="-2"/>
              </w:rPr>
              <w:t xml:space="preserve"> </w:t>
            </w:r>
            <w:r w:rsidR="008039C4" w:rsidRPr="008039C4">
              <w:rPr>
                <w:rFonts w:ascii="Times New Roman" w:hAnsi="Times New Roman"/>
                <w:color w:val="000000"/>
                <w:spacing w:val="-2"/>
              </w:rPr>
              <w:t xml:space="preserve">Projekt wprowadza nowy instrument wsparcia dla instytucji finansowych za pośrednictwem BGK, który pozytywnie wpłynie zarówno na proekologiczną politykę kredytową banków, jak i na zdolność kredytobiorców do realizacji przedsięwzięć </w:t>
            </w:r>
            <w:r w:rsidR="008039C4" w:rsidRPr="008039C4">
              <w:rPr>
                <w:rFonts w:ascii="Times New Roman" w:hAnsi="Times New Roman"/>
                <w:color w:val="000000"/>
                <w:spacing w:val="-2"/>
              </w:rPr>
              <w:lastRenderedPageBreak/>
              <w:t xml:space="preserve">proekologicznych we wsparciu z zewnętrznym kredytowaniem.  </w:t>
            </w:r>
          </w:p>
        </w:tc>
      </w:tr>
      <w:tr w:rsidR="006C2454" w:rsidRPr="008B4FE6" w:rsidTr="00481F21">
        <w:trPr>
          <w:gridAfter w:val="1"/>
          <w:wAfter w:w="9" w:type="dxa"/>
          <w:trHeight w:val="142"/>
        </w:trPr>
        <w:tc>
          <w:tcPr>
            <w:tcW w:w="2322" w:type="dxa"/>
            <w:gridSpan w:val="3"/>
            <w:shd w:val="clear" w:color="auto" w:fill="auto"/>
          </w:tcPr>
          <w:p w:rsidR="006C2454" w:rsidRPr="00F41AC6" w:rsidRDefault="006C2454" w:rsidP="00481F21">
            <w:pPr>
              <w:spacing w:line="240" w:lineRule="auto"/>
              <w:rPr>
                <w:rFonts w:ascii="Times New Roman" w:hAnsi="Times New Roman"/>
              </w:rPr>
            </w:pPr>
            <w:r w:rsidRPr="00F41AC6">
              <w:rPr>
                <w:rFonts w:ascii="Times New Roman" w:hAnsi="Times New Roman"/>
              </w:rPr>
              <w:lastRenderedPageBreak/>
              <w:t xml:space="preserve">Minister właściwy do spraw </w:t>
            </w:r>
            <w:r w:rsidR="005B51AE">
              <w:rPr>
                <w:rFonts w:ascii="Times New Roman" w:hAnsi="Times New Roman"/>
              </w:rPr>
              <w:t>klimatu</w:t>
            </w:r>
          </w:p>
        </w:tc>
        <w:tc>
          <w:tcPr>
            <w:tcW w:w="2393"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1</w:t>
            </w:r>
          </w:p>
        </w:tc>
        <w:tc>
          <w:tcPr>
            <w:tcW w:w="3325" w:type="dxa"/>
            <w:gridSpan w:val="5"/>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spacing w:val="-2"/>
              </w:rPr>
              <w:t>Dane ogólnodostępne</w:t>
            </w:r>
          </w:p>
        </w:tc>
        <w:tc>
          <w:tcPr>
            <w:tcW w:w="2898"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Pr>
                <w:rFonts w:ascii="Times New Roman" w:hAnsi="Times New Roman"/>
                <w:color w:val="000000"/>
                <w:spacing w:val="-2"/>
              </w:rPr>
              <w:t xml:space="preserve">Udostępnienie danych </w:t>
            </w:r>
            <w:r w:rsidRPr="00F41AC6">
              <w:rPr>
                <w:rFonts w:ascii="Times New Roman" w:hAnsi="Times New Roman"/>
                <w:color w:val="000000"/>
                <w:spacing w:val="-2"/>
              </w:rPr>
              <w:t xml:space="preserve">zgromadzonych w </w:t>
            </w:r>
            <w:r w:rsidR="00C0242C">
              <w:rPr>
                <w:rFonts w:ascii="Times New Roman" w:hAnsi="Times New Roman"/>
                <w:color w:val="000000"/>
                <w:spacing w:val="-2"/>
              </w:rPr>
              <w:t>CEEB</w:t>
            </w:r>
            <w:r w:rsidRPr="00F41AC6">
              <w:rPr>
                <w:rFonts w:ascii="Times New Roman" w:hAnsi="Times New Roman"/>
                <w:color w:val="000000"/>
                <w:spacing w:val="-2"/>
              </w:rPr>
              <w:t xml:space="preserve"> w systemie teleinformatycznym. </w:t>
            </w:r>
            <w:r w:rsidR="00BA349A">
              <w:rPr>
                <w:rFonts w:ascii="Times New Roman" w:hAnsi="Times New Roman"/>
                <w:color w:val="000000"/>
                <w:spacing w:val="-2"/>
              </w:rPr>
              <w:t xml:space="preserve"> P</w:t>
            </w:r>
            <w:r w:rsidR="00BA349A" w:rsidRPr="00BA349A">
              <w:rPr>
                <w:rFonts w:ascii="Times New Roman" w:hAnsi="Times New Roman"/>
                <w:color w:val="000000"/>
                <w:spacing w:val="-2"/>
              </w:rPr>
              <w:t xml:space="preserve">rzeniesienie odpowiedzialności na </w:t>
            </w:r>
            <w:r w:rsidR="00601C7D">
              <w:rPr>
                <w:rFonts w:ascii="Times New Roman" w:hAnsi="Times New Roman"/>
                <w:color w:val="000000"/>
                <w:spacing w:val="-2"/>
              </w:rPr>
              <w:t>ministra właściwego do spraw klimatu</w:t>
            </w:r>
            <w:r w:rsidR="00BA349A" w:rsidRPr="00BA349A">
              <w:rPr>
                <w:rFonts w:ascii="Times New Roman" w:hAnsi="Times New Roman"/>
                <w:color w:val="000000"/>
                <w:spacing w:val="-2"/>
              </w:rPr>
              <w:t xml:space="preserve"> i NFOŚiGW usprawni realizację programu Stop</w:t>
            </w:r>
            <w:r w:rsidR="00BA349A">
              <w:rPr>
                <w:rFonts w:ascii="Times New Roman" w:hAnsi="Times New Roman"/>
                <w:color w:val="000000"/>
                <w:spacing w:val="-2"/>
              </w:rPr>
              <w:t xml:space="preserve"> </w:t>
            </w:r>
            <w:r w:rsidR="00BA349A" w:rsidRPr="00BA349A">
              <w:rPr>
                <w:rFonts w:ascii="Times New Roman" w:hAnsi="Times New Roman"/>
                <w:color w:val="000000"/>
                <w:spacing w:val="-2"/>
              </w:rPr>
              <w:t>Smog</w:t>
            </w:r>
            <w:r w:rsidR="00BA349A">
              <w:rPr>
                <w:rFonts w:ascii="Times New Roman" w:hAnsi="Times New Roman"/>
                <w:color w:val="000000"/>
                <w:spacing w:val="-2"/>
              </w:rPr>
              <w:t>.</w:t>
            </w:r>
          </w:p>
        </w:tc>
      </w:tr>
      <w:tr w:rsidR="006C2454" w:rsidRPr="008B4FE6" w:rsidTr="00481F21">
        <w:trPr>
          <w:gridAfter w:val="1"/>
          <w:wAfter w:w="9" w:type="dxa"/>
          <w:trHeight w:val="142"/>
        </w:trPr>
        <w:tc>
          <w:tcPr>
            <w:tcW w:w="2322" w:type="dxa"/>
            <w:gridSpan w:val="3"/>
            <w:shd w:val="clear" w:color="auto" w:fill="auto"/>
          </w:tcPr>
          <w:p w:rsidR="006C2454" w:rsidRPr="00F41AC6" w:rsidRDefault="006C2454" w:rsidP="00481F21">
            <w:pPr>
              <w:spacing w:line="240" w:lineRule="auto"/>
              <w:rPr>
                <w:rFonts w:ascii="Times New Roman" w:hAnsi="Times New Roman"/>
              </w:rPr>
            </w:pPr>
            <w:r w:rsidRPr="00F41AC6">
              <w:rPr>
                <w:rFonts w:ascii="Times New Roman" w:hAnsi="Times New Roman"/>
              </w:rPr>
              <w:t>Gminy (wójt, burmistrz, prezydent miasta)</w:t>
            </w:r>
          </w:p>
        </w:tc>
        <w:tc>
          <w:tcPr>
            <w:tcW w:w="2393" w:type="dxa"/>
            <w:gridSpan w:val="4"/>
            <w:shd w:val="clear" w:color="auto" w:fill="auto"/>
          </w:tcPr>
          <w:p w:rsidR="00CB6D3B" w:rsidRDefault="00CB6D3B" w:rsidP="00481F21">
            <w:pPr>
              <w:pStyle w:val="Akapitzlist"/>
              <w:numPr>
                <w:ilvl w:val="0"/>
                <w:numId w:val="30"/>
              </w:numPr>
              <w:spacing w:line="240" w:lineRule="auto"/>
              <w:rPr>
                <w:rFonts w:ascii="Times New Roman" w:hAnsi="Times New Roman"/>
                <w:color w:val="000000"/>
                <w:spacing w:val="-2"/>
              </w:rPr>
            </w:pPr>
            <w:r w:rsidRPr="00BA3A50">
              <w:rPr>
                <w:rFonts w:ascii="Times New Roman" w:hAnsi="Times New Roman"/>
                <w:color w:val="000000"/>
                <w:spacing w:val="-2"/>
              </w:rPr>
              <w:t>24</w:t>
            </w:r>
            <w:r w:rsidR="005B51AE">
              <w:rPr>
                <w:rFonts w:ascii="Times New Roman" w:hAnsi="Times New Roman"/>
                <w:color w:val="000000"/>
                <w:spacing w:val="-2"/>
              </w:rPr>
              <w:t>11</w:t>
            </w:r>
            <w:r w:rsidRPr="00BA3A50">
              <w:rPr>
                <w:rFonts w:ascii="Times New Roman" w:hAnsi="Times New Roman"/>
                <w:color w:val="000000"/>
                <w:spacing w:val="-2"/>
              </w:rPr>
              <w:t xml:space="preserve"> gmin </w:t>
            </w:r>
          </w:p>
          <w:p w:rsidR="00CB6D3B" w:rsidRPr="00BA3A50" w:rsidRDefault="00CB6D3B" w:rsidP="00481F21">
            <w:pPr>
              <w:pStyle w:val="Akapitzlist"/>
              <w:numPr>
                <w:ilvl w:val="0"/>
                <w:numId w:val="30"/>
              </w:numPr>
              <w:spacing w:line="240" w:lineRule="auto"/>
              <w:rPr>
                <w:rFonts w:ascii="Times New Roman" w:hAnsi="Times New Roman"/>
                <w:color w:val="000000"/>
                <w:spacing w:val="-2"/>
              </w:rPr>
            </w:pPr>
            <w:r w:rsidRPr="00BA3A50">
              <w:rPr>
                <w:rFonts w:ascii="Times New Roman" w:hAnsi="Times New Roman"/>
                <w:color w:val="000000"/>
                <w:spacing w:val="-2"/>
              </w:rPr>
              <w:t>66 miast na prawach powiatu</w:t>
            </w:r>
          </w:p>
          <w:p w:rsidR="00CB6D3B" w:rsidRPr="00F41AC6" w:rsidRDefault="00CB6D3B" w:rsidP="00481F21">
            <w:pPr>
              <w:spacing w:line="240" w:lineRule="auto"/>
              <w:rPr>
                <w:rFonts w:ascii="Times New Roman" w:hAnsi="Times New Roman"/>
                <w:color w:val="000000"/>
                <w:spacing w:val="-2"/>
              </w:rPr>
            </w:pPr>
          </w:p>
        </w:tc>
        <w:tc>
          <w:tcPr>
            <w:tcW w:w="3325" w:type="dxa"/>
            <w:gridSpan w:val="5"/>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spacing w:val="-2"/>
              </w:rPr>
              <w:t>Dane ogólnodostępne</w:t>
            </w:r>
          </w:p>
        </w:tc>
        <w:tc>
          <w:tcPr>
            <w:tcW w:w="2898"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 xml:space="preserve">Konieczność uwzględnienia w dokonywanych czynnościach: </w:t>
            </w:r>
            <w:r w:rsidRPr="00F41AC6">
              <w:rPr>
                <w:rFonts w:ascii="Times New Roman" w:hAnsi="Times New Roman"/>
              </w:rPr>
              <w:t xml:space="preserve">1) </w:t>
            </w:r>
            <w:r w:rsidRPr="00F41AC6">
              <w:rPr>
                <w:rFonts w:ascii="Times New Roman" w:hAnsi="Times New Roman"/>
                <w:color w:val="000000"/>
                <w:spacing w:val="-2"/>
              </w:rPr>
              <w:t xml:space="preserve">kontrolnych wszystkich źródeł </w:t>
            </w:r>
            <w:r>
              <w:rPr>
                <w:rFonts w:ascii="Times New Roman" w:hAnsi="Times New Roman"/>
                <w:color w:val="000000"/>
                <w:spacing w:val="-2"/>
              </w:rPr>
              <w:t xml:space="preserve">ciepła, źródeł </w:t>
            </w:r>
            <w:r w:rsidRPr="00F41AC6">
              <w:rPr>
                <w:rFonts w:ascii="Times New Roman" w:hAnsi="Times New Roman"/>
                <w:color w:val="000000"/>
                <w:spacing w:val="-2"/>
              </w:rPr>
              <w:t>spalania paliw o nominalnej mocy cieplnej mniejszej niż 1 MW,</w:t>
            </w:r>
            <w:r>
              <w:rPr>
                <w:rFonts w:ascii="Times New Roman" w:hAnsi="Times New Roman"/>
                <w:color w:val="000000"/>
                <w:spacing w:val="-2"/>
              </w:rPr>
              <w:t xml:space="preserve"> źródeł energii elektrycznej,</w:t>
            </w:r>
            <w:r w:rsidRPr="00F41AC6">
              <w:rPr>
                <w:rFonts w:ascii="Times New Roman" w:hAnsi="Times New Roman"/>
                <w:color w:val="000000"/>
                <w:spacing w:val="-2"/>
              </w:rPr>
              <w:t xml:space="preserve"> </w:t>
            </w:r>
          </w:p>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2) związanych z</w:t>
            </w:r>
            <w:r w:rsidRPr="00F41AC6">
              <w:rPr>
                <w:rFonts w:ascii="Times New Roman" w:hAnsi="Times New Roman"/>
              </w:rPr>
              <w:t xml:space="preserve"> </w:t>
            </w:r>
            <w:r w:rsidRPr="00F41AC6">
              <w:rPr>
                <w:rFonts w:ascii="Times New Roman" w:hAnsi="Times New Roman"/>
                <w:color w:val="000000"/>
                <w:spacing w:val="-2"/>
              </w:rPr>
              <w:t xml:space="preserve">danymi o udzielonym ze środków publicznych dofinansowaniu przedsięwzięć </w:t>
            </w:r>
            <w:r w:rsidRPr="00F41AC6">
              <w:rPr>
                <w:rFonts w:ascii="Times New Roman" w:hAnsi="Times New Roman"/>
                <w:color w:val="000000"/>
                <w:spacing w:val="-2"/>
              </w:rPr>
              <w:lastRenderedPageBreak/>
              <w:t>związanych z ochroną powietrza;</w:t>
            </w:r>
          </w:p>
          <w:p w:rsidR="006C2454" w:rsidRDefault="006C2454" w:rsidP="00481F21">
            <w:pPr>
              <w:spacing w:line="240" w:lineRule="auto"/>
              <w:rPr>
                <w:rFonts w:ascii="Times New Roman" w:hAnsi="Times New Roman"/>
              </w:rPr>
            </w:pPr>
            <w:r>
              <w:rPr>
                <w:rFonts w:ascii="Times New Roman" w:hAnsi="Times New Roman"/>
              </w:rPr>
              <w:t xml:space="preserve">3) informacji o przyznanych świadczeniach z pomocy społecznej lub innych (dodatek mieszkaniowy, dodatek energetyczny, zasiłek celowy na opał), </w:t>
            </w:r>
          </w:p>
          <w:p w:rsidR="006C2454" w:rsidRPr="00F41AC6" w:rsidRDefault="006C2454" w:rsidP="00481F21">
            <w:pPr>
              <w:spacing w:line="240" w:lineRule="auto"/>
              <w:rPr>
                <w:rFonts w:ascii="Times New Roman" w:hAnsi="Times New Roman"/>
                <w:color w:val="000000"/>
                <w:spacing w:val="-2"/>
              </w:rPr>
            </w:pPr>
            <w:r>
              <w:rPr>
                <w:rFonts w:ascii="Times New Roman" w:hAnsi="Times New Roman"/>
              </w:rPr>
              <w:t xml:space="preserve">4) </w:t>
            </w:r>
            <w:r w:rsidRPr="00F41AC6">
              <w:rPr>
                <w:rFonts w:ascii="Times New Roman" w:hAnsi="Times New Roman"/>
              </w:rPr>
              <w:t>inwentaryzacji</w:t>
            </w:r>
            <w:r>
              <w:rPr>
                <w:rFonts w:ascii="Times New Roman" w:hAnsi="Times New Roman"/>
              </w:rPr>
              <w:t xml:space="preserve"> budynków,</w:t>
            </w:r>
            <w:r w:rsidRPr="00F41AC6">
              <w:rPr>
                <w:rFonts w:ascii="Times New Roman" w:hAnsi="Times New Roman"/>
              </w:rPr>
              <w:t xml:space="preserve"> </w:t>
            </w:r>
            <w:r>
              <w:rPr>
                <w:rFonts w:ascii="Times New Roman" w:hAnsi="Times New Roman"/>
              </w:rPr>
              <w:br/>
              <w:t xml:space="preserve">- </w:t>
            </w:r>
            <w:r w:rsidRPr="00F41AC6">
              <w:rPr>
                <w:rFonts w:ascii="Times New Roman" w:hAnsi="Times New Roman"/>
                <w:color w:val="000000"/>
                <w:spacing w:val="-2"/>
              </w:rPr>
              <w:t xml:space="preserve">oraz przekazania do </w:t>
            </w:r>
            <w:r>
              <w:rPr>
                <w:rFonts w:ascii="Times New Roman" w:hAnsi="Times New Roman"/>
                <w:color w:val="000000"/>
                <w:spacing w:val="-2"/>
              </w:rPr>
              <w:t xml:space="preserve">CEEB danych </w:t>
            </w:r>
            <w:r w:rsidRPr="00F41AC6">
              <w:rPr>
                <w:rFonts w:ascii="Times New Roman" w:hAnsi="Times New Roman"/>
                <w:color w:val="000000"/>
                <w:spacing w:val="-2"/>
              </w:rPr>
              <w:t xml:space="preserve">za pośrednictwem systemu teleinformatycznego obsługującego </w:t>
            </w:r>
            <w:r w:rsidR="00DA3A1C">
              <w:rPr>
                <w:rFonts w:ascii="Times New Roman" w:hAnsi="Times New Roman"/>
                <w:color w:val="000000"/>
                <w:spacing w:val="-2"/>
              </w:rPr>
              <w:t>CEEB</w:t>
            </w:r>
            <w:r w:rsidRPr="00F41AC6">
              <w:rPr>
                <w:rFonts w:ascii="Times New Roman" w:hAnsi="Times New Roman"/>
                <w:color w:val="000000"/>
                <w:spacing w:val="-2"/>
              </w:rPr>
              <w:t xml:space="preserve">. </w:t>
            </w:r>
            <w:r>
              <w:rPr>
                <w:rFonts w:ascii="Times New Roman" w:hAnsi="Times New Roman"/>
                <w:color w:val="000000"/>
                <w:spacing w:val="-2"/>
              </w:rPr>
              <w:t xml:space="preserve">Udostępnienie danych </w:t>
            </w:r>
            <w:r w:rsidRPr="00F41AC6">
              <w:rPr>
                <w:rFonts w:ascii="Times New Roman" w:hAnsi="Times New Roman"/>
                <w:color w:val="000000"/>
                <w:spacing w:val="-2"/>
              </w:rPr>
              <w:t xml:space="preserve">zgromadzonych w </w:t>
            </w:r>
            <w:r w:rsidR="00ED5F2B">
              <w:rPr>
                <w:rFonts w:ascii="Times New Roman" w:hAnsi="Times New Roman"/>
                <w:color w:val="000000"/>
                <w:spacing w:val="-2"/>
              </w:rPr>
              <w:t>CEEB</w:t>
            </w:r>
            <w:r w:rsidRPr="00F41AC6">
              <w:rPr>
                <w:rFonts w:ascii="Times New Roman" w:hAnsi="Times New Roman"/>
                <w:color w:val="000000"/>
                <w:spacing w:val="-2"/>
              </w:rPr>
              <w:t xml:space="preserve"> w systemie teleinformatycznym</w:t>
            </w:r>
            <w:r>
              <w:rPr>
                <w:rFonts w:ascii="Times New Roman" w:hAnsi="Times New Roman"/>
                <w:color w:val="000000"/>
                <w:spacing w:val="-2"/>
              </w:rPr>
              <w:t>.</w:t>
            </w:r>
          </w:p>
        </w:tc>
      </w:tr>
      <w:tr w:rsidR="006C2454" w:rsidRPr="008B4FE6" w:rsidTr="00481F21">
        <w:trPr>
          <w:gridAfter w:val="1"/>
          <w:wAfter w:w="9" w:type="dxa"/>
          <w:trHeight w:val="142"/>
        </w:trPr>
        <w:tc>
          <w:tcPr>
            <w:tcW w:w="2322" w:type="dxa"/>
            <w:gridSpan w:val="3"/>
            <w:shd w:val="clear" w:color="auto" w:fill="auto"/>
          </w:tcPr>
          <w:p w:rsidR="006C2454" w:rsidRPr="00F41AC6" w:rsidRDefault="005B51AE" w:rsidP="00481F21">
            <w:pPr>
              <w:spacing w:line="240" w:lineRule="auto"/>
              <w:rPr>
                <w:rFonts w:ascii="Times New Roman" w:hAnsi="Times New Roman"/>
              </w:rPr>
            </w:pPr>
            <w:r>
              <w:rPr>
                <w:rFonts w:ascii="Times New Roman" w:hAnsi="Times New Roman"/>
              </w:rPr>
              <w:lastRenderedPageBreak/>
              <w:t>Powiaty</w:t>
            </w:r>
          </w:p>
        </w:tc>
        <w:tc>
          <w:tcPr>
            <w:tcW w:w="2393" w:type="dxa"/>
            <w:gridSpan w:val="4"/>
            <w:shd w:val="clear" w:color="auto" w:fill="auto"/>
          </w:tcPr>
          <w:p w:rsidR="006C2454"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3</w:t>
            </w:r>
            <w:r w:rsidR="005B51AE">
              <w:rPr>
                <w:rFonts w:ascii="Times New Roman" w:hAnsi="Times New Roman"/>
                <w:color w:val="000000"/>
                <w:spacing w:val="-2"/>
              </w:rPr>
              <w:t>14</w:t>
            </w:r>
          </w:p>
          <w:p w:rsidR="005B51AE" w:rsidRPr="00F41AC6" w:rsidRDefault="005B51AE" w:rsidP="00481F21">
            <w:pPr>
              <w:pStyle w:val="Akapitzlist"/>
              <w:spacing w:line="240" w:lineRule="auto"/>
              <w:rPr>
                <w:rFonts w:ascii="Times New Roman" w:hAnsi="Times New Roman"/>
                <w:color w:val="000000"/>
                <w:spacing w:val="-2"/>
              </w:rPr>
            </w:pPr>
          </w:p>
        </w:tc>
        <w:tc>
          <w:tcPr>
            <w:tcW w:w="3325" w:type="dxa"/>
            <w:gridSpan w:val="5"/>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spacing w:val="-2"/>
              </w:rPr>
              <w:t>Dane ogólnodostępne</w:t>
            </w:r>
          </w:p>
        </w:tc>
        <w:tc>
          <w:tcPr>
            <w:tcW w:w="2898" w:type="dxa"/>
            <w:gridSpan w:val="4"/>
            <w:shd w:val="clear" w:color="auto" w:fill="auto"/>
          </w:tcPr>
          <w:p w:rsidR="006C2454" w:rsidRPr="00EE5802"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 xml:space="preserve">Konieczność uwzględnienia w dokonywanych czynnościach: 1) kontrolnych wszystkich źródeł ciepła, źródeł spalania paliw o nominalnej mocy cieplnej mniejszej niż </w:t>
            </w:r>
            <w:r w:rsidRPr="00EE5802">
              <w:rPr>
                <w:rFonts w:ascii="Times New Roman" w:hAnsi="Times New Roman"/>
                <w:color w:val="000000"/>
                <w:spacing w:val="-2"/>
              </w:rPr>
              <w:lastRenderedPageBreak/>
              <w:t xml:space="preserve">1 MW, źródeł energii elektrycznej, </w:t>
            </w:r>
          </w:p>
          <w:p w:rsidR="006C2454" w:rsidRPr="00EE5802"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 xml:space="preserve">2) </w:t>
            </w:r>
            <w:r>
              <w:rPr>
                <w:rFonts w:ascii="Times New Roman" w:hAnsi="Times New Roman"/>
                <w:color w:val="000000"/>
                <w:spacing w:val="-2"/>
              </w:rPr>
              <w:t xml:space="preserve">informacji o </w:t>
            </w:r>
            <w:r w:rsidRPr="00EE5802">
              <w:rPr>
                <w:rFonts w:ascii="Times New Roman" w:hAnsi="Times New Roman"/>
                <w:color w:val="000000"/>
                <w:spacing w:val="-2"/>
              </w:rPr>
              <w:t>udzielonym ze środków publicznych dofinansowaniu przedsięwzięć związanych z ochroną powietrza;</w:t>
            </w:r>
          </w:p>
          <w:p w:rsidR="006C2454"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 xml:space="preserve">3) inwentaryzacji </w:t>
            </w:r>
            <w:r>
              <w:rPr>
                <w:rFonts w:ascii="Times New Roman" w:hAnsi="Times New Roman"/>
                <w:color w:val="000000"/>
                <w:spacing w:val="-2"/>
              </w:rPr>
              <w:t>budynków,</w:t>
            </w:r>
          </w:p>
          <w:p w:rsidR="00415B1D" w:rsidRPr="00415B1D" w:rsidRDefault="006C2454" w:rsidP="00415B1D">
            <w:pPr>
              <w:spacing w:line="240" w:lineRule="auto"/>
              <w:rPr>
                <w:rFonts w:ascii="Times New Roman" w:hAnsi="Times New Roman"/>
                <w:color w:val="000000"/>
                <w:spacing w:val="-2"/>
              </w:rPr>
            </w:pPr>
            <w:r>
              <w:rPr>
                <w:rFonts w:ascii="Times New Roman" w:hAnsi="Times New Roman"/>
                <w:color w:val="000000"/>
                <w:spacing w:val="-2"/>
              </w:rPr>
              <w:t xml:space="preserve">- </w:t>
            </w:r>
            <w:r w:rsidRPr="00EE5802">
              <w:rPr>
                <w:rFonts w:ascii="Times New Roman" w:hAnsi="Times New Roman"/>
                <w:color w:val="000000"/>
                <w:spacing w:val="-2"/>
              </w:rPr>
              <w:t xml:space="preserve">oraz przekazania do CEEB danych za pośrednictwem systemu teleinformatycznego obsługującego </w:t>
            </w:r>
            <w:r w:rsidR="000760BA">
              <w:rPr>
                <w:rFonts w:ascii="Times New Roman" w:hAnsi="Times New Roman"/>
                <w:color w:val="000000"/>
                <w:spacing w:val="-2"/>
              </w:rPr>
              <w:t>CEEB</w:t>
            </w:r>
            <w:r w:rsidRPr="00EE5802">
              <w:rPr>
                <w:rFonts w:ascii="Times New Roman" w:hAnsi="Times New Roman"/>
                <w:color w:val="000000"/>
                <w:spacing w:val="-2"/>
              </w:rPr>
              <w:t xml:space="preserve">. Udostępnienie danych zgromadzonych w </w:t>
            </w:r>
            <w:r w:rsidR="000760BA">
              <w:rPr>
                <w:rFonts w:ascii="Times New Roman" w:hAnsi="Times New Roman"/>
                <w:color w:val="000000"/>
                <w:spacing w:val="-2"/>
              </w:rPr>
              <w:t>CEEB</w:t>
            </w:r>
            <w:r w:rsidRPr="00EE5802">
              <w:rPr>
                <w:rFonts w:ascii="Times New Roman" w:hAnsi="Times New Roman"/>
                <w:color w:val="000000"/>
                <w:spacing w:val="-2"/>
              </w:rPr>
              <w:t xml:space="preserve"> w systemie teleinformatycznym.</w:t>
            </w:r>
            <w:r w:rsidR="00415B1D">
              <w:rPr>
                <w:rFonts w:ascii="Times New Roman" w:hAnsi="Times New Roman"/>
                <w:color w:val="000000"/>
                <w:spacing w:val="-2"/>
              </w:rPr>
              <w:t xml:space="preserve"> U</w:t>
            </w:r>
            <w:r w:rsidR="00415B1D" w:rsidRPr="00415B1D">
              <w:rPr>
                <w:rFonts w:ascii="Times New Roman" w:hAnsi="Times New Roman"/>
                <w:color w:val="000000"/>
                <w:spacing w:val="-2"/>
              </w:rPr>
              <w:t xml:space="preserve">łatwienie zaciągania pożyczek dla gmin pozytywnie przyczyni się do wykonywania przez nie obowiązków ustawowych dotyczących ogólnie pojętej ochrony środowiska. </w:t>
            </w:r>
          </w:p>
          <w:p w:rsidR="00415B1D" w:rsidRPr="00415B1D" w:rsidRDefault="00415B1D" w:rsidP="00415B1D">
            <w:pPr>
              <w:spacing w:line="240" w:lineRule="auto"/>
              <w:rPr>
                <w:rFonts w:ascii="Times New Roman" w:hAnsi="Times New Roman"/>
                <w:color w:val="000000"/>
                <w:spacing w:val="-2"/>
              </w:rPr>
            </w:pPr>
          </w:p>
          <w:p w:rsidR="006C2454" w:rsidRPr="00F41AC6" w:rsidRDefault="00415B1D" w:rsidP="00415B1D">
            <w:pPr>
              <w:spacing w:line="240" w:lineRule="auto"/>
              <w:rPr>
                <w:rFonts w:ascii="Times New Roman" w:hAnsi="Times New Roman"/>
                <w:color w:val="000000"/>
                <w:spacing w:val="-2"/>
              </w:rPr>
            </w:pPr>
            <w:r>
              <w:rPr>
                <w:rFonts w:ascii="Times New Roman" w:hAnsi="Times New Roman"/>
                <w:color w:val="000000"/>
                <w:spacing w:val="-2"/>
              </w:rPr>
              <w:t>W</w:t>
            </w:r>
            <w:r w:rsidRPr="00415B1D">
              <w:rPr>
                <w:rFonts w:ascii="Times New Roman" w:hAnsi="Times New Roman"/>
                <w:color w:val="000000"/>
                <w:spacing w:val="-2"/>
              </w:rPr>
              <w:t xml:space="preserve">ydawanie zaświadczeń nie </w:t>
            </w:r>
            <w:r w:rsidRPr="00415B1D">
              <w:rPr>
                <w:rFonts w:ascii="Times New Roman" w:hAnsi="Times New Roman"/>
                <w:color w:val="000000"/>
                <w:spacing w:val="-2"/>
              </w:rPr>
              <w:lastRenderedPageBreak/>
              <w:t xml:space="preserve">wpłynie negatywnie na działalność gmin, gdyż zaprojektowane przepisy wpisują się w obecnie wykonywane przez organy wykonawcze gmin obowiązków na podstawie przepisów kodeksu postępowania administracyjnego. </w:t>
            </w:r>
          </w:p>
        </w:tc>
      </w:tr>
      <w:tr w:rsidR="006C2454" w:rsidRPr="008B4FE6" w:rsidTr="00481F21">
        <w:trPr>
          <w:gridAfter w:val="1"/>
          <w:wAfter w:w="9" w:type="dxa"/>
          <w:trHeight w:val="142"/>
        </w:trPr>
        <w:tc>
          <w:tcPr>
            <w:tcW w:w="2322" w:type="dxa"/>
            <w:gridSpan w:val="3"/>
            <w:shd w:val="clear" w:color="auto" w:fill="auto"/>
          </w:tcPr>
          <w:p w:rsidR="006C2454" w:rsidRPr="00F41AC6" w:rsidRDefault="006C2454" w:rsidP="00481F21">
            <w:pPr>
              <w:spacing w:line="240" w:lineRule="auto"/>
              <w:rPr>
                <w:rFonts w:ascii="Times New Roman" w:hAnsi="Times New Roman"/>
              </w:rPr>
            </w:pPr>
            <w:r w:rsidRPr="00F41AC6">
              <w:rPr>
                <w:rFonts w:ascii="Times New Roman" w:hAnsi="Times New Roman"/>
              </w:rPr>
              <w:lastRenderedPageBreak/>
              <w:t>Wojewoda</w:t>
            </w:r>
          </w:p>
        </w:tc>
        <w:tc>
          <w:tcPr>
            <w:tcW w:w="2393"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16</w:t>
            </w:r>
          </w:p>
        </w:tc>
        <w:tc>
          <w:tcPr>
            <w:tcW w:w="3325" w:type="dxa"/>
            <w:gridSpan w:val="5"/>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spacing w:val="-2"/>
              </w:rPr>
              <w:t>Dane ogólnodostępne</w:t>
            </w:r>
          </w:p>
        </w:tc>
        <w:tc>
          <w:tcPr>
            <w:tcW w:w="2898"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Udostępnienie</w:t>
            </w:r>
            <w:r w:rsidDel="00EE5802">
              <w:rPr>
                <w:rFonts w:ascii="Times New Roman" w:hAnsi="Times New Roman"/>
                <w:color w:val="000000"/>
                <w:spacing w:val="-2"/>
              </w:rPr>
              <w:t xml:space="preserve"> </w:t>
            </w:r>
            <w:r>
              <w:rPr>
                <w:rFonts w:ascii="Times New Roman" w:hAnsi="Times New Roman"/>
                <w:color w:val="000000"/>
                <w:spacing w:val="-2"/>
              </w:rPr>
              <w:t xml:space="preserve">danych </w:t>
            </w:r>
            <w:r w:rsidRPr="00F41AC6">
              <w:rPr>
                <w:rFonts w:ascii="Times New Roman" w:hAnsi="Times New Roman"/>
                <w:color w:val="000000"/>
                <w:spacing w:val="-2"/>
              </w:rPr>
              <w:t xml:space="preserve">zgromadzonych w </w:t>
            </w:r>
            <w:r w:rsidR="000760BA">
              <w:rPr>
                <w:rFonts w:ascii="Times New Roman" w:hAnsi="Times New Roman"/>
                <w:color w:val="000000"/>
                <w:spacing w:val="-2"/>
              </w:rPr>
              <w:t>CEEB</w:t>
            </w:r>
            <w:r w:rsidRPr="00F41AC6">
              <w:rPr>
                <w:rFonts w:ascii="Times New Roman" w:hAnsi="Times New Roman"/>
                <w:color w:val="000000"/>
                <w:spacing w:val="-2"/>
              </w:rPr>
              <w:t xml:space="preserve"> w systemie teleinformatycznym</w:t>
            </w:r>
            <w:r>
              <w:rPr>
                <w:rFonts w:ascii="Times New Roman" w:hAnsi="Times New Roman"/>
                <w:color w:val="000000"/>
                <w:spacing w:val="-2"/>
              </w:rPr>
              <w:t>.</w:t>
            </w:r>
          </w:p>
        </w:tc>
      </w:tr>
      <w:tr w:rsidR="006C2454" w:rsidRPr="008B4FE6" w:rsidTr="00481F21">
        <w:trPr>
          <w:gridAfter w:val="1"/>
          <w:wAfter w:w="9" w:type="dxa"/>
          <w:trHeight w:val="142"/>
        </w:trPr>
        <w:tc>
          <w:tcPr>
            <w:tcW w:w="2322" w:type="dxa"/>
            <w:gridSpan w:val="3"/>
            <w:shd w:val="clear" w:color="auto" w:fill="auto"/>
          </w:tcPr>
          <w:p w:rsidR="006C2454" w:rsidRPr="00F41AC6" w:rsidRDefault="006C2454" w:rsidP="00481F21">
            <w:pPr>
              <w:spacing w:line="240" w:lineRule="auto"/>
              <w:rPr>
                <w:rFonts w:ascii="Times New Roman" w:hAnsi="Times New Roman"/>
              </w:rPr>
            </w:pPr>
            <w:r w:rsidRPr="00F41AC6">
              <w:rPr>
                <w:rFonts w:ascii="Times New Roman" w:hAnsi="Times New Roman"/>
              </w:rPr>
              <w:t xml:space="preserve">Generalny Dyrektor Ochrony Środowiska </w:t>
            </w:r>
          </w:p>
        </w:tc>
        <w:tc>
          <w:tcPr>
            <w:tcW w:w="2393"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1</w:t>
            </w:r>
          </w:p>
        </w:tc>
        <w:tc>
          <w:tcPr>
            <w:tcW w:w="3325" w:type="dxa"/>
            <w:gridSpan w:val="5"/>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spacing w:val="-2"/>
              </w:rPr>
              <w:t>Dane ogólnodostępne</w:t>
            </w:r>
          </w:p>
        </w:tc>
        <w:tc>
          <w:tcPr>
            <w:tcW w:w="2898"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Udostępnienie</w:t>
            </w:r>
            <w:r w:rsidDel="00EE5802">
              <w:rPr>
                <w:rFonts w:ascii="Times New Roman" w:hAnsi="Times New Roman"/>
                <w:color w:val="000000"/>
                <w:spacing w:val="-2"/>
              </w:rPr>
              <w:t xml:space="preserve"> </w:t>
            </w:r>
            <w:r>
              <w:rPr>
                <w:rFonts w:ascii="Times New Roman" w:hAnsi="Times New Roman"/>
                <w:color w:val="000000"/>
                <w:spacing w:val="-2"/>
              </w:rPr>
              <w:t xml:space="preserve">danych </w:t>
            </w:r>
            <w:r w:rsidRPr="00F41AC6">
              <w:rPr>
                <w:rFonts w:ascii="Times New Roman" w:hAnsi="Times New Roman"/>
                <w:color w:val="000000"/>
                <w:spacing w:val="-2"/>
              </w:rPr>
              <w:t xml:space="preserve">zgromadzonych w </w:t>
            </w:r>
            <w:r w:rsidR="000760BA">
              <w:rPr>
                <w:rFonts w:ascii="Times New Roman" w:hAnsi="Times New Roman"/>
                <w:color w:val="000000"/>
                <w:spacing w:val="-2"/>
              </w:rPr>
              <w:t>CEEB</w:t>
            </w:r>
            <w:r w:rsidRPr="00F41AC6">
              <w:rPr>
                <w:rFonts w:ascii="Times New Roman" w:hAnsi="Times New Roman"/>
                <w:color w:val="000000"/>
                <w:spacing w:val="-2"/>
              </w:rPr>
              <w:t xml:space="preserve"> w systemie teleinformatycznym</w:t>
            </w:r>
            <w:r w:rsidR="000760BA">
              <w:rPr>
                <w:rFonts w:ascii="Times New Roman" w:hAnsi="Times New Roman"/>
                <w:color w:val="000000"/>
                <w:spacing w:val="-2"/>
              </w:rPr>
              <w:t>.</w:t>
            </w:r>
          </w:p>
        </w:tc>
      </w:tr>
      <w:tr w:rsidR="006C2454" w:rsidRPr="008B4FE6" w:rsidTr="00481F21">
        <w:trPr>
          <w:gridAfter w:val="1"/>
          <w:wAfter w:w="9" w:type="dxa"/>
          <w:trHeight w:val="142"/>
        </w:trPr>
        <w:tc>
          <w:tcPr>
            <w:tcW w:w="2322" w:type="dxa"/>
            <w:gridSpan w:val="3"/>
            <w:shd w:val="clear" w:color="auto" w:fill="auto"/>
          </w:tcPr>
          <w:p w:rsidR="006C2454" w:rsidRPr="00F41AC6" w:rsidRDefault="006C2454" w:rsidP="00481F21">
            <w:pPr>
              <w:spacing w:line="240" w:lineRule="auto"/>
              <w:rPr>
                <w:rFonts w:ascii="Times New Roman" w:hAnsi="Times New Roman"/>
              </w:rPr>
            </w:pPr>
            <w:r w:rsidRPr="00F41AC6">
              <w:rPr>
                <w:rFonts w:ascii="Times New Roman" w:hAnsi="Times New Roman"/>
              </w:rPr>
              <w:t xml:space="preserve">Regionalny dyrektor ochrony środowiska  </w:t>
            </w:r>
          </w:p>
        </w:tc>
        <w:tc>
          <w:tcPr>
            <w:tcW w:w="2393"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16</w:t>
            </w:r>
          </w:p>
        </w:tc>
        <w:tc>
          <w:tcPr>
            <w:tcW w:w="3325" w:type="dxa"/>
            <w:gridSpan w:val="5"/>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spacing w:val="-2"/>
              </w:rPr>
              <w:t>Dane ogólnodostępne</w:t>
            </w:r>
          </w:p>
        </w:tc>
        <w:tc>
          <w:tcPr>
            <w:tcW w:w="2898"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Pr>
                <w:rFonts w:ascii="Times New Roman" w:hAnsi="Times New Roman"/>
                <w:color w:val="000000"/>
                <w:spacing w:val="-2"/>
              </w:rPr>
              <w:t xml:space="preserve">Dostęp do danych </w:t>
            </w:r>
            <w:r w:rsidRPr="00F41AC6">
              <w:rPr>
                <w:rFonts w:ascii="Times New Roman" w:hAnsi="Times New Roman"/>
                <w:color w:val="000000"/>
                <w:spacing w:val="-2"/>
              </w:rPr>
              <w:t xml:space="preserve">zgromadzonych w </w:t>
            </w:r>
            <w:r w:rsidR="000760BA">
              <w:rPr>
                <w:rFonts w:ascii="Times New Roman" w:hAnsi="Times New Roman"/>
                <w:color w:val="000000"/>
                <w:spacing w:val="-2"/>
              </w:rPr>
              <w:t>CEEB</w:t>
            </w:r>
            <w:r w:rsidRPr="00F41AC6">
              <w:rPr>
                <w:rFonts w:ascii="Times New Roman" w:hAnsi="Times New Roman"/>
                <w:color w:val="000000"/>
                <w:spacing w:val="-2"/>
              </w:rPr>
              <w:t xml:space="preserve"> w systemie teleinformatycznym</w:t>
            </w:r>
            <w:r>
              <w:rPr>
                <w:rFonts w:ascii="Times New Roman" w:hAnsi="Times New Roman"/>
                <w:color w:val="000000"/>
                <w:spacing w:val="-2"/>
              </w:rPr>
              <w:t>.</w:t>
            </w:r>
          </w:p>
        </w:tc>
      </w:tr>
      <w:tr w:rsidR="006C2454" w:rsidRPr="008B4FE6" w:rsidTr="00481F21">
        <w:trPr>
          <w:gridAfter w:val="1"/>
          <w:wAfter w:w="9" w:type="dxa"/>
          <w:trHeight w:val="142"/>
        </w:trPr>
        <w:tc>
          <w:tcPr>
            <w:tcW w:w="2322" w:type="dxa"/>
            <w:gridSpan w:val="3"/>
            <w:shd w:val="clear" w:color="auto" w:fill="auto"/>
          </w:tcPr>
          <w:p w:rsidR="006C2454" w:rsidRPr="00F41AC6" w:rsidRDefault="005B51AE" w:rsidP="00481F21">
            <w:pPr>
              <w:spacing w:line="240" w:lineRule="auto"/>
              <w:rPr>
                <w:rFonts w:ascii="Times New Roman" w:hAnsi="Times New Roman"/>
              </w:rPr>
            </w:pPr>
            <w:r>
              <w:rPr>
                <w:rFonts w:ascii="Times New Roman" w:hAnsi="Times New Roman"/>
              </w:rPr>
              <w:t>Samorząd</w:t>
            </w:r>
            <w:r w:rsidR="006C2454" w:rsidRPr="00F41AC6">
              <w:rPr>
                <w:rFonts w:ascii="Times New Roman" w:hAnsi="Times New Roman"/>
              </w:rPr>
              <w:t xml:space="preserve"> województwa</w:t>
            </w:r>
          </w:p>
        </w:tc>
        <w:tc>
          <w:tcPr>
            <w:tcW w:w="2393"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16</w:t>
            </w:r>
          </w:p>
        </w:tc>
        <w:tc>
          <w:tcPr>
            <w:tcW w:w="3325" w:type="dxa"/>
            <w:gridSpan w:val="5"/>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spacing w:val="-2"/>
              </w:rPr>
              <w:t>Dane ogólnodostępne</w:t>
            </w:r>
          </w:p>
        </w:tc>
        <w:tc>
          <w:tcPr>
            <w:tcW w:w="2898" w:type="dxa"/>
            <w:gridSpan w:val="4"/>
            <w:shd w:val="clear" w:color="auto" w:fill="auto"/>
          </w:tcPr>
          <w:p w:rsidR="006C2454" w:rsidRPr="00EE5802"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 xml:space="preserve">Konieczność uwzględnienia w dokonywanych czynnościach: 1) kontrolnych wszystkich źródeł ciepła, źródeł spalania paliw o nominalnej mocy cieplnej mniejszej niż </w:t>
            </w:r>
            <w:r w:rsidRPr="00EE5802">
              <w:rPr>
                <w:rFonts w:ascii="Times New Roman" w:hAnsi="Times New Roman"/>
                <w:color w:val="000000"/>
                <w:spacing w:val="-2"/>
              </w:rPr>
              <w:lastRenderedPageBreak/>
              <w:t xml:space="preserve">1 MW, źródeł energii elektrycznej, </w:t>
            </w:r>
          </w:p>
          <w:p w:rsidR="006C2454" w:rsidRPr="00EE5802"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 xml:space="preserve">2) </w:t>
            </w:r>
            <w:r>
              <w:rPr>
                <w:rFonts w:ascii="Times New Roman" w:hAnsi="Times New Roman"/>
                <w:color w:val="000000"/>
                <w:spacing w:val="-2"/>
              </w:rPr>
              <w:t xml:space="preserve">informacji o </w:t>
            </w:r>
            <w:r w:rsidRPr="00EE5802">
              <w:rPr>
                <w:rFonts w:ascii="Times New Roman" w:hAnsi="Times New Roman"/>
                <w:color w:val="000000"/>
                <w:spacing w:val="-2"/>
              </w:rPr>
              <w:t>udzielonym ze środków publicznych dofinansowaniu przedsięwzięć związanych z ochroną powietrza;</w:t>
            </w:r>
          </w:p>
          <w:p w:rsidR="006C2454"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 xml:space="preserve">3) inwentaryzacji </w:t>
            </w:r>
            <w:r>
              <w:rPr>
                <w:rFonts w:ascii="Times New Roman" w:hAnsi="Times New Roman"/>
                <w:color w:val="000000"/>
                <w:spacing w:val="-2"/>
              </w:rPr>
              <w:t>budynków,</w:t>
            </w:r>
          </w:p>
          <w:p w:rsidR="006C2454" w:rsidRPr="00F41AC6" w:rsidRDefault="006C2454" w:rsidP="00481F21">
            <w:pPr>
              <w:spacing w:line="240" w:lineRule="auto"/>
              <w:rPr>
                <w:rFonts w:ascii="Times New Roman" w:hAnsi="Times New Roman"/>
                <w:color w:val="000000"/>
                <w:spacing w:val="-2"/>
              </w:rPr>
            </w:pPr>
            <w:r>
              <w:rPr>
                <w:rFonts w:ascii="Times New Roman" w:hAnsi="Times New Roman"/>
                <w:color w:val="000000"/>
                <w:spacing w:val="-2"/>
              </w:rPr>
              <w:t xml:space="preserve">- </w:t>
            </w:r>
            <w:r w:rsidRPr="00EE5802">
              <w:rPr>
                <w:rFonts w:ascii="Times New Roman" w:hAnsi="Times New Roman"/>
                <w:color w:val="000000"/>
                <w:spacing w:val="-2"/>
              </w:rPr>
              <w:t xml:space="preserve">oraz przekazania do CEEB danych za pośrednictwem systemu teleinformatycznego obsługującego </w:t>
            </w:r>
            <w:r w:rsidR="000760BA">
              <w:rPr>
                <w:rFonts w:ascii="Times New Roman" w:hAnsi="Times New Roman"/>
                <w:color w:val="000000"/>
                <w:spacing w:val="-2"/>
              </w:rPr>
              <w:t>CEEB</w:t>
            </w:r>
            <w:r w:rsidRPr="00EE5802">
              <w:rPr>
                <w:rFonts w:ascii="Times New Roman" w:hAnsi="Times New Roman"/>
                <w:color w:val="000000"/>
                <w:spacing w:val="-2"/>
              </w:rPr>
              <w:t xml:space="preserve">. Udostępnienie danych zgromadzonych w </w:t>
            </w:r>
            <w:r w:rsidR="000760BA">
              <w:rPr>
                <w:rFonts w:ascii="Times New Roman" w:hAnsi="Times New Roman"/>
                <w:color w:val="000000"/>
                <w:spacing w:val="-2"/>
              </w:rPr>
              <w:t>CEEB</w:t>
            </w:r>
            <w:r w:rsidRPr="00EE5802">
              <w:rPr>
                <w:rFonts w:ascii="Times New Roman" w:hAnsi="Times New Roman"/>
                <w:color w:val="000000"/>
                <w:spacing w:val="-2"/>
              </w:rPr>
              <w:t xml:space="preserve"> w systemie teleinformatycznym.</w:t>
            </w:r>
          </w:p>
        </w:tc>
      </w:tr>
      <w:tr w:rsidR="006C2454" w:rsidRPr="008B4FE6" w:rsidTr="00481F21">
        <w:trPr>
          <w:gridAfter w:val="1"/>
          <w:wAfter w:w="9" w:type="dxa"/>
          <w:trHeight w:val="142"/>
        </w:trPr>
        <w:tc>
          <w:tcPr>
            <w:tcW w:w="2322" w:type="dxa"/>
            <w:gridSpan w:val="3"/>
            <w:shd w:val="clear" w:color="auto" w:fill="auto"/>
          </w:tcPr>
          <w:p w:rsidR="006C2454" w:rsidRPr="00F41AC6" w:rsidRDefault="006C2454" w:rsidP="00481F21">
            <w:pPr>
              <w:pStyle w:val="PKTpunkt"/>
              <w:spacing w:line="240" w:lineRule="auto"/>
              <w:ind w:left="0" w:firstLine="0"/>
              <w:rPr>
                <w:rFonts w:ascii="Times New Roman" w:hAnsi="Times New Roman" w:cs="Times New Roman"/>
                <w:sz w:val="22"/>
                <w:szCs w:val="22"/>
              </w:rPr>
            </w:pPr>
            <w:r w:rsidRPr="00F41AC6">
              <w:rPr>
                <w:rFonts w:ascii="Times New Roman" w:hAnsi="Times New Roman" w:cs="Times New Roman"/>
                <w:sz w:val="22"/>
                <w:szCs w:val="22"/>
              </w:rPr>
              <w:lastRenderedPageBreak/>
              <w:t>Główn</w:t>
            </w:r>
            <w:r>
              <w:rPr>
                <w:rFonts w:ascii="Times New Roman" w:hAnsi="Times New Roman" w:cs="Times New Roman"/>
                <w:sz w:val="22"/>
                <w:szCs w:val="22"/>
              </w:rPr>
              <w:t>y</w:t>
            </w:r>
            <w:r w:rsidRPr="00F41AC6">
              <w:rPr>
                <w:rFonts w:ascii="Times New Roman" w:hAnsi="Times New Roman" w:cs="Times New Roman"/>
                <w:sz w:val="22"/>
                <w:szCs w:val="22"/>
              </w:rPr>
              <w:t xml:space="preserve"> Urz</w:t>
            </w:r>
            <w:r>
              <w:rPr>
                <w:rFonts w:ascii="Times New Roman" w:hAnsi="Times New Roman" w:cs="Times New Roman"/>
                <w:sz w:val="22"/>
                <w:szCs w:val="22"/>
              </w:rPr>
              <w:t>ą</w:t>
            </w:r>
            <w:r w:rsidRPr="00F41AC6">
              <w:rPr>
                <w:rFonts w:ascii="Times New Roman" w:hAnsi="Times New Roman" w:cs="Times New Roman"/>
                <w:sz w:val="22"/>
                <w:szCs w:val="22"/>
              </w:rPr>
              <w:t>d Statystyczn</w:t>
            </w:r>
            <w:r>
              <w:rPr>
                <w:rFonts w:ascii="Times New Roman" w:hAnsi="Times New Roman" w:cs="Times New Roman"/>
                <w:sz w:val="22"/>
                <w:szCs w:val="22"/>
              </w:rPr>
              <w:t>y</w:t>
            </w:r>
          </w:p>
        </w:tc>
        <w:tc>
          <w:tcPr>
            <w:tcW w:w="2393"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1</w:t>
            </w:r>
          </w:p>
        </w:tc>
        <w:tc>
          <w:tcPr>
            <w:tcW w:w="3325" w:type="dxa"/>
            <w:gridSpan w:val="5"/>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spacing w:val="-2"/>
              </w:rPr>
              <w:t>Dane ogólnodostępne</w:t>
            </w:r>
          </w:p>
        </w:tc>
        <w:tc>
          <w:tcPr>
            <w:tcW w:w="2898"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Udostępnienie</w:t>
            </w:r>
            <w:r w:rsidDel="00EE5802">
              <w:rPr>
                <w:rFonts w:ascii="Times New Roman" w:hAnsi="Times New Roman"/>
                <w:color w:val="000000"/>
                <w:spacing w:val="-2"/>
              </w:rPr>
              <w:t xml:space="preserve"> </w:t>
            </w:r>
            <w:r>
              <w:rPr>
                <w:rFonts w:ascii="Times New Roman" w:hAnsi="Times New Roman"/>
                <w:color w:val="000000"/>
                <w:spacing w:val="-2"/>
              </w:rPr>
              <w:t xml:space="preserve">danych </w:t>
            </w:r>
            <w:r w:rsidRPr="00F41AC6">
              <w:rPr>
                <w:rFonts w:ascii="Times New Roman" w:hAnsi="Times New Roman"/>
                <w:color w:val="000000"/>
                <w:spacing w:val="-2"/>
              </w:rPr>
              <w:t xml:space="preserve">zgromadzonych w </w:t>
            </w:r>
            <w:r w:rsidR="000760BA">
              <w:rPr>
                <w:rFonts w:ascii="Times New Roman" w:hAnsi="Times New Roman"/>
                <w:color w:val="000000"/>
                <w:spacing w:val="-2"/>
              </w:rPr>
              <w:t>CEEB</w:t>
            </w:r>
            <w:r w:rsidRPr="00F41AC6">
              <w:rPr>
                <w:rFonts w:ascii="Times New Roman" w:hAnsi="Times New Roman"/>
                <w:color w:val="000000"/>
                <w:spacing w:val="-2"/>
              </w:rPr>
              <w:t xml:space="preserve"> w systemie teleinformatycznym</w:t>
            </w:r>
          </w:p>
        </w:tc>
      </w:tr>
      <w:tr w:rsidR="006C2454" w:rsidRPr="008B4FE6" w:rsidTr="00481F21">
        <w:trPr>
          <w:gridAfter w:val="1"/>
          <w:wAfter w:w="9" w:type="dxa"/>
          <w:trHeight w:val="142"/>
        </w:trPr>
        <w:tc>
          <w:tcPr>
            <w:tcW w:w="2322" w:type="dxa"/>
            <w:gridSpan w:val="3"/>
            <w:shd w:val="clear" w:color="auto" w:fill="auto"/>
          </w:tcPr>
          <w:p w:rsidR="006C2454" w:rsidRPr="00F41AC6" w:rsidRDefault="006C2454" w:rsidP="00481F21">
            <w:pPr>
              <w:spacing w:line="240" w:lineRule="auto"/>
              <w:rPr>
                <w:rFonts w:ascii="Times New Roman" w:hAnsi="Times New Roman"/>
              </w:rPr>
            </w:pPr>
            <w:r w:rsidRPr="00F41AC6">
              <w:rPr>
                <w:rFonts w:ascii="Times New Roman" w:hAnsi="Times New Roman"/>
              </w:rPr>
              <w:t>Instytuty badawcze</w:t>
            </w:r>
          </w:p>
        </w:tc>
        <w:tc>
          <w:tcPr>
            <w:tcW w:w="2393"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ok. 200</w:t>
            </w:r>
          </w:p>
        </w:tc>
        <w:tc>
          <w:tcPr>
            <w:tcW w:w="3325" w:type="dxa"/>
            <w:gridSpan w:val="5"/>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spacing w:val="-2"/>
              </w:rPr>
              <w:t>Dane ogólnodostępne</w:t>
            </w:r>
          </w:p>
        </w:tc>
        <w:tc>
          <w:tcPr>
            <w:tcW w:w="2898"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Udostępnienie</w:t>
            </w:r>
            <w:r w:rsidDel="00EE5802">
              <w:rPr>
                <w:rFonts w:ascii="Times New Roman" w:hAnsi="Times New Roman"/>
                <w:color w:val="000000"/>
                <w:spacing w:val="-2"/>
              </w:rPr>
              <w:t xml:space="preserve"> </w:t>
            </w:r>
            <w:r>
              <w:rPr>
                <w:rFonts w:ascii="Times New Roman" w:hAnsi="Times New Roman"/>
                <w:color w:val="000000"/>
                <w:spacing w:val="-2"/>
              </w:rPr>
              <w:t xml:space="preserve">danych </w:t>
            </w:r>
            <w:r w:rsidRPr="00F41AC6">
              <w:rPr>
                <w:rFonts w:ascii="Times New Roman" w:hAnsi="Times New Roman"/>
                <w:color w:val="000000"/>
                <w:spacing w:val="-2"/>
              </w:rPr>
              <w:t xml:space="preserve">zgromadzonych w </w:t>
            </w:r>
            <w:r w:rsidR="000760BA">
              <w:rPr>
                <w:rFonts w:ascii="Times New Roman" w:hAnsi="Times New Roman"/>
                <w:color w:val="000000"/>
                <w:spacing w:val="-2"/>
              </w:rPr>
              <w:t>CEEB</w:t>
            </w:r>
            <w:r w:rsidRPr="00F41AC6">
              <w:rPr>
                <w:rFonts w:ascii="Times New Roman" w:hAnsi="Times New Roman"/>
                <w:color w:val="000000"/>
                <w:spacing w:val="-2"/>
              </w:rPr>
              <w:t xml:space="preserve"> w systemie teleinformatycznym</w:t>
            </w:r>
          </w:p>
        </w:tc>
      </w:tr>
      <w:tr w:rsidR="006C2454" w:rsidRPr="008B4FE6" w:rsidTr="00481F21">
        <w:trPr>
          <w:gridAfter w:val="1"/>
          <w:wAfter w:w="9" w:type="dxa"/>
          <w:trHeight w:val="142"/>
        </w:trPr>
        <w:tc>
          <w:tcPr>
            <w:tcW w:w="2322" w:type="dxa"/>
            <w:gridSpan w:val="3"/>
            <w:shd w:val="clear" w:color="auto" w:fill="auto"/>
          </w:tcPr>
          <w:p w:rsidR="006C2454" w:rsidRPr="00F41AC6" w:rsidRDefault="006C2454" w:rsidP="00481F21">
            <w:pPr>
              <w:spacing w:line="240" w:lineRule="auto"/>
              <w:rPr>
                <w:rFonts w:ascii="Times New Roman" w:hAnsi="Times New Roman"/>
              </w:rPr>
            </w:pPr>
            <w:r w:rsidRPr="00F41AC6">
              <w:rPr>
                <w:rFonts w:ascii="Times New Roman" w:hAnsi="Times New Roman"/>
              </w:rPr>
              <w:t xml:space="preserve">Uczelnie wyższe </w:t>
            </w:r>
          </w:p>
        </w:tc>
        <w:tc>
          <w:tcPr>
            <w:tcW w:w="2393"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ok. 400</w:t>
            </w:r>
          </w:p>
        </w:tc>
        <w:tc>
          <w:tcPr>
            <w:tcW w:w="3325" w:type="dxa"/>
            <w:gridSpan w:val="5"/>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spacing w:val="-2"/>
              </w:rPr>
              <w:t>Dane ogólnodostępne</w:t>
            </w:r>
          </w:p>
        </w:tc>
        <w:tc>
          <w:tcPr>
            <w:tcW w:w="2898"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Udostępnienie</w:t>
            </w:r>
            <w:r w:rsidDel="00EE5802">
              <w:rPr>
                <w:rFonts w:ascii="Times New Roman" w:hAnsi="Times New Roman"/>
                <w:color w:val="000000"/>
                <w:spacing w:val="-2"/>
              </w:rPr>
              <w:t xml:space="preserve"> </w:t>
            </w:r>
            <w:r>
              <w:rPr>
                <w:rFonts w:ascii="Times New Roman" w:hAnsi="Times New Roman"/>
                <w:color w:val="000000"/>
                <w:spacing w:val="-2"/>
              </w:rPr>
              <w:t xml:space="preserve">danych </w:t>
            </w:r>
            <w:r w:rsidRPr="00F41AC6">
              <w:rPr>
                <w:rFonts w:ascii="Times New Roman" w:hAnsi="Times New Roman"/>
                <w:color w:val="000000"/>
                <w:spacing w:val="-2"/>
              </w:rPr>
              <w:t xml:space="preserve">zgromadzonych w </w:t>
            </w:r>
            <w:r w:rsidR="000760BA">
              <w:rPr>
                <w:rFonts w:ascii="Times New Roman" w:hAnsi="Times New Roman"/>
                <w:color w:val="000000"/>
                <w:spacing w:val="-2"/>
              </w:rPr>
              <w:t>CEEB</w:t>
            </w:r>
            <w:r w:rsidRPr="00F41AC6">
              <w:rPr>
                <w:rFonts w:ascii="Times New Roman" w:hAnsi="Times New Roman"/>
                <w:color w:val="000000"/>
                <w:spacing w:val="-2"/>
              </w:rPr>
              <w:t xml:space="preserve"> w systemie teleinformatycznym</w:t>
            </w:r>
          </w:p>
        </w:tc>
      </w:tr>
      <w:tr w:rsidR="006C2454" w:rsidRPr="008B4FE6" w:rsidTr="00481F21">
        <w:trPr>
          <w:gridAfter w:val="1"/>
          <w:wAfter w:w="9" w:type="dxa"/>
          <w:trHeight w:val="142"/>
        </w:trPr>
        <w:tc>
          <w:tcPr>
            <w:tcW w:w="2322" w:type="dxa"/>
            <w:gridSpan w:val="3"/>
            <w:shd w:val="clear" w:color="auto" w:fill="auto"/>
          </w:tcPr>
          <w:p w:rsidR="006C2454" w:rsidRPr="00F41AC6" w:rsidRDefault="006C2454" w:rsidP="00481F21">
            <w:pPr>
              <w:spacing w:line="240" w:lineRule="auto"/>
              <w:rPr>
                <w:rFonts w:ascii="Times New Roman" w:hAnsi="Times New Roman"/>
              </w:rPr>
            </w:pPr>
            <w:r w:rsidRPr="00F41AC6">
              <w:rPr>
                <w:rFonts w:ascii="Times New Roman" w:hAnsi="Times New Roman"/>
              </w:rPr>
              <w:lastRenderedPageBreak/>
              <w:t>Krajowa Administracja Skarbowa</w:t>
            </w:r>
          </w:p>
        </w:tc>
        <w:tc>
          <w:tcPr>
            <w:tcW w:w="2393"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1</w:t>
            </w:r>
          </w:p>
        </w:tc>
        <w:tc>
          <w:tcPr>
            <w:tcW w:w="3325" w:type="dxa"/>
            <w:gridSpan w:val="5"/>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spacing w:val="-2"/>
              </w:rPr>
              <w:t>Dane ogólnodostępne</w:t>
            </w:r>
          </w:p>
        </w:tc>
        <w:tc>
          <w:tcPr>
            <w:tcW w:w="2898" w:type="dxa"/>
            <w:gridSpan w:val="4"/>
            <w:shd w:val="clear" w:color="auto" w:fill="auto"/>
          </w:tcPr>
          <w:p w:rsidR="006C2454" w:rsidRPr="00EE5802"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Konieczność uwzględnien</w:t>
            </w:r>
            <w:r>
              <w:rPr>
                <w:rFonts w:ascii="Times New Roman" w:hAnsi="Times New Roman"/>
                <w:color w:val="000000"/>
                <w:spacing w:val="-2"/>
              </w:rPr>
              <w:t>ia w dokonywanych czynnościach</w:t>
            </w:r>
          </w:p>
          <w:p w:rsidR="006C2454" w:rsidRDefault="006C2454" w:rsidP="00481F21">
            <w:pPr>
              <w:spacing w:line="240" w:lineRule="auto"/>
              <w:rPr>
                <w:rFonts w:ascii="Times New Roman" w:hAnsi="Times New Roman"/>
                <w:color w:val="000000"/>
                <w:spacing w:val="-2"/>
              </w:rPr>
            </w:pPr>
            <w:r>
              <w:rPr>
                <w:rFonts w:ascii="Times New Roman" w:hAnsi="Times New Roman"/>
                <w:color w:val="000000"/>
                <w:spacing w:val="-2"/>
              </w:rPr>
              <w:t xml:space="preserve">Informacji dotyczącej ulgi podatkowej (termomodernizacyjnej) </w:t>
            </w:r>
            <w:r w:rsidRPr="00EE5802">
              <w:rPr>
                <w:rFonts w:ascii="Times New Roman" w:hAnsi="Times New Roman"/>
                <w:color w:val="000000"/>
                <w:spacing w:val="-2"/>
              </w:rPr>
              <w:t xml:space="preserve">oraz przekazania do CEEB danych za pośrednictwem systemu teleinformatycznego obsługującego </w:t>
            </w:r>
            <w:r w:rsidR="000760BA">
              <w:rPr>
                <w:rFonts w:ascii="Times New Roman" w:hAnsi="Times New Roman"/>
                <w:color w:val="000000"/>
                <w:spacing w:val="-2"/>
              </w:rPr>
              <w:t>CEEB</w:t>
            </w:r>
            <w:r w:rsidRPr="00EE5802">
              <w:rPr>
                <w:rFonts w:ascii="Times New Roman" w:hAnsi="Times New Roman"/>
                <w:color w:val="000000"/>
                <w:spacing w:val="-2"/>
              </w:rPr>
              <w:t>.</w:t>
            </w:r>
          </w:p>
          <w:p w:rsidR="006C2454" w:rsidRPr="00F41AC6"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Udostępnienie</w:t>
            </w:r>
            <w:r w:rsidDel="00EE5802">
              <w:rPr>
                <w:rFonts w:ascii="Times New Roman" w:hAnsi="Times New Roman"/>
                <w:color w:val="000000"/>
                <w:spacing w:val="-2"/>
              </w:rPr>
              <w:t xml:space="preserve"> </w:t>
            </w:r>
            <w:r>
              <w:rPr>
                <w:rFonts w:ascii="Times New Roman" w:hAnsi="Times New Roman"/>
                <w:color w:val="000000"/>
                <w:spacing w:val="-2"/>
              </w:rPr>
              <w:t xml:space="preserve">danych </w:t>
            </w:r>
            <w:r w:rsidRPr="00F41AC6">
              <w:rPr>
                <w:rFonts w:ascii="Times New Roman" w:hAnsi="Times New Roman"/>
                <w:color w:val="000000"/>
                <w:spacing w:val="-2"/>
              </w:rPr>
              <w:t xml:space="preserve">zgromadzonych w </w:t>
            </w:r>
            <w:r w:rsidR="000760BA">
              <w:rPr>
                <w:rFonts w:ascii="Times New Roman" w:hAnsi="Times New Roman"/>
                <w:color w:val="000000"/>
                <w:spacing w:val="-2"/>
              </w:rPr>
              <w:t>CEEB</w:t>
            </w:r>
            <w:r w:rsidRPr="00F41AC6">
              <w:rPr>
                <w:rFonts w:ascii="Times New Roman" w:hAnsi="Times New Roman"/>
                <w:color w:val="000000"/>
                <w:spacing w:val="-2"/>
              </w:rPr>
              <w:t xml:space="preserve"> w systemie teleinformatycznym</w:t>
            </w:r>
          </w:p>
        </w:tc>
      </w:tr>
      <w:tr w:rsidR="006C2454" w:rsidRPr="008B4FE6" w:rsidTr="00481F21">
        <w:trPr>
          <w:gridAfter w:val="1"/>
          <w:wAfter w:w="9" w:type="dxa"/>
          <w:trHeight w:val="142"/>
        </w:trPr>
        <w:tc>
          <w:tcPr>
            <w:tcW w:w="2322" w:type="dxa"/>
            <w:gridSpan w:val="3"/>
            <w:shd w:val="clear" w:color="auto" w:fill="auto"/>
          </w:tcPr>
          <w:p w:rsidR="006C2454" w:rsidRPr="00F41AC6" w:rsidRDefault="006C2454" w:rsidP="00481F21">
            <w:pPr>
              <w:spacing w:line="240" w:lineRule="auto"/>
              <w:rPr>
                <w:rFonts w:ascii="Times New Roman" w:hAnsi="Times New Roman"/>
              </w:rPr>
            </w:pPr>
            <w:r w:rsidRPr="00F41AC6">
              <w:rPr>
                <w:rFonts w:ascii="Times New Roman" w:hAnsi="Times New Roman"/>
              </w:rPr>
              <w:t>Minister właściwy do spraw wewnętrznych</w:t>
            </w:r>
          </w:p>
        </w:tc>
        <w:tc>
          <w:tcPr>
            <w:tcW w:w="2393"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1</w:t>
            </w:r>
          </w:p>
        </w:tc>
        <w:tc>
          <w:tcPr>
            <w:tcW w:w="3325" w:type="dxa"/>
            <w:gridSpan w:val="5"/>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spacing w:val="-2"/>
              </w:rPr>
              <w:t>Dane ogólnodostępne</w:t>
            </w:r>
          </w:p>
        </w:tc>
        <w:tc>
          <w:tcPr>
            <w:tcW w:w="2898"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Udostępnienie</w:t>
            </w:r>
            <w:r w:rsidDel="00EE5802">
              <w:rPr>
                <w:rFonts w:ascii="Times New Roman" w:hAnsi="Times New Roman"/>
                <w:color w:val="000000"/>
                <w:spacing w:val="-2"/>
              </w:rPr>
              <w:t xml:space="preserve"> </w:t>
            </w:r>
            <w:r>
              <w:rPr>
                <w:rFonts w:ascii="Times New Roman" w:hAnsi="Times New Roman"/>
                <w:color w:val="000000"/>
                <w:spacing w:val="-2"/>
              </w:rPr>
              <w:t xml:space="preserve">danych </w:t>
            </w:r>
            <w:r w:rsidRPr="00F41AC6">
              <w:rPr>
                <w:rFonts w:ascii="Times New Roman" w:hAnsi="Times New Roman"/>
                <w:color w:val="000000"/>
                <w:spacing w:val="-2"/>
              </w:rPr>
              <w:t xml:space="preserve">zgromadzonych w </w:t>
            </w:r>
            <w:r w:rsidR="000760BA">
              <w:rPr>
                <w:rFonts w:ascii="Times New Roman" w:hAnsi="Times New Roman"/>
                <w:color w:val="000000"/>
                <w:spacing w:val="-2"/>
              </w:rPr>
              <w:t>CEEB</w:t>
            </w:r>
            <w:r w:rsidRPr="00F41AC6">
              <w:rPr>
                <w:rFonts w:ascii="Times New Roman" w:hAnsi="Times New Roman"/>
                <w:color w:val="000000"/>
                <w:spacing w:val="-2"/>
              </w:rPr>
              <w:t xml:space="preserve"> w systemie teleinformatycznym</w:t>
            </w:r>
          </w:p>
        </w:tc>
      </w:tr>
      <w:tr w:rsidR="006C2454" w:rsidRPr="008B4FE6" w:rsidTr="00481F21">
        <w:trPr>
          <w:gridAfter w:val="1"/>
          <w:wAfter w:w="9" w:type="dxa"/>
          <w:trHeight w:val="142"/>
        </w:trPr>
        <w:tc>
          <w:tcPr>
            <w:tcW w:w="2322" w:type="dxa"/>
            <w:gridSpan w:val="3"/>
            <w:shd w:val="clear" w:color="auto" w:fill="auto"/>
          </w:tcPr>
          <w:p w:rsidR="006C2454" w:rsidRPr="00F41AC6" w:rsidRDefault="006C2454" w:rsidP="00481F21">
            <w:pPr>
              <w:spacing w:line="240" w:lineRule="auto"/>
              <w:rPr>
                <w:rFonts w:ascii="Times New Roman" w:hAnsi="Times New Roman"/>
              </w:rPr>
            </w:pPr>
            <w:r w:rsidRPr="00F41AC6">
              <w:rPr>
                <w:rFonts w:ascii="Times New Roman" w:hAnsi="Times New Roman"/>
              </w:rPr>
              <w:t>Minister właściwy do spraw energii</w:t>
            </w:r>
          </w:p>
        </w:tc>
        <w:tc>
          <w:tcPr>
            <w:tcW w:w="2393"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1</w:t>
            </w:r>
          </w:p>
        </w:tc>
        <w:tc>
          <w:tcPr>
            <w:tcW w:w="3325" w:type="dxa"/>
            <w:gridSpan w:val="5"/>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spacing w:val="-2"/>
              </w:rPr>
              <w:t>Dane ogólnodostępne</w:t>
            </w:r>
          </w:p>
        </w:tc>
        <w:tc>
          <w:tcPr>
            <w:tcW w:w="2898"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Udostępnienie</w:t>
            </w:r>
            <w:r w:rsidDel="00EE5802">
              <w:rPr>
                <w:rFonts w:ascii="Times New Roman" w:hAnsi="Times New Roman"/>
                <w:color w:val="000000"/>
                <w:spacing w:val="-2"/>
              </w:rPr>
              <w:t xml:space="preserve"> </w:t>
            </w:r>
            <w:r>
              <w:rPr>
                <w:rFonts w:ascii="Times New Roman" w:hAnsi="Times New Roman"/>
                <w:color w:val="000000"/>
                <w:spacing w:val="-2"/>
              </w:rPr>
              <w:t xml:space="preserve">danych </w:t>
            </w:r>
            <w:r w:rsidRPr="00F41AC6">
              <w:rPr>
                <w:rFonts w:ascii="Times New Roman" w:hAnsi="Times New Roman"/>
                <w:color w:val="000000"/>
                <w:spacing w:val="-2"/>
              </w:rPr>
              <w:t xml:space="preserve">zgromadzonych w </w:t>
            </w:r>
            <w:r w:rsidR="000760BA">
              <w:rPr>
                <w:rFonts w:ascii="Times New Roman" w:hAnsi="Times New Roman"/>
                <w:color w:val="000000"/>
                <w:spacing w:val="-2"/>
              </w:rPr>
              <w:t>CEEB</w:t>
            </w:r>
            <w:r w:rsidRPr="00F41AC6">
              <w:rPr>
                <w:rFonts w:ascii="Times New Roman" w:hAnsi="Times New Roman"/>
                <w:color w:val="000000"/>
                <w:spacing w:val="-2"/>
              </w:rPr>
              <w:t xml:space="preserve"> w systemie teleinformatycznym</w:t>
            </w:r>
          </w:p>
        </w:tc>
      </w:tr>
      <w:tr w:rsidR="006C2454" w:rsidRPr="008B4FE6" w:rsidTr="00481F21">
        <w:trPr>
          <w:gridAfter w:val="1"/>
          <w:wAfter w:w="9" w:type="dxa"/>
          <w:trHeight w:val="142"/>
        </w:trPr>
        <w:tc>
          <w:tcPr>
            <w:tcW w:w="2322" w:type="dxa"/>
            <w:gridSpan w:val="3"/>
            <w:shd w:val="clear" w:color="auto" w:fill="auto"/>
          </w:tcPr>
          <w:p w:rsidR="006C2454" w:rsidRPr="00F41AC6" w:rsidRDefault="006C2454" w:rsidP="00481F21">
            <w:pPr>
              <w:pStyle w:val="PKTpunkt"/>
              <w:spacing w:line="240" w:lineRule="auto"/>
              <w:ind w:left="0" w:firstLine="0"/>
              <w:rPr>
                <w:rFonts w:ascii="Times New Roman" w:hAnsi="Times New Roman" w:cs="Times New Roman"/>
                <w:sz w:val="22"/>
                <w:szCs w:val="22"/>
              </w:rPr>
            </w:pPr>
            <w:r w:rsidRPr="00F41AC6">
              <w:rPr>
                <w:rFonts w:ascii="Times New Roman" w:hAnsi="Times New Roman" w:cs="Times New Roman"/>
                <w:sz w:val="22"/>
                <w:szCs w:val="22"/>
              </w:rPr>
              <w:t>Minister właściwy do spraw budownictwa, planowania i zagospodarowania przestrzennego oraz mieszkalnictwa</w:t>
            </w:r>
          </w:p>
        </w:tc>
        <w:tc>
          <w:tcPr>
            <w:tcW w:w="2393"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color w:val="000000"/>
                <w:spacing w:val="-2"/>
              </w:rPr>
              <w:t>1</w:t>
            </w:r>
          </w:p>
        </w:tc>
        <w:tc>
          <w:tcPr>
            <w:tcW w:w="3325" w:type="dxa"/>
            <w:gridSpan w:val="5"/>
            <w:shd w:val="clear" w:color="auto" w:fill="auto"/>
          </w:tcPr>
          <w:p w:rsidR="006C2454" w:rsidRPr="00F41AC6" w:rsidRDefault="006C2454" w:rsidP="00481F21">
            <w:pPr>
              <w:spacing w:line="240" w:lineRule="auto"/>
              <w:rPr>
                <w:rFonts w:ascii="Times New Roman" w:hAnsi="Times New Roman"/>
                <w:color w:val="000000"/>
                <w:spacing w:val="-2"/>
              </w:rPr>
            </w:pPr>
            <w:r w:rsidRPr="00F41AC6">
              <w:rPr>
                <w:rFonts w:ascii="Times New Roman" w:hAnsi="Times New Roman"/>
                <w:spacing w:val="-2"/>
              </w:rPr>
              <w:t>Dane ogólnodostępne</w:t>
            </w:r>
          </w:p>
        </w:tc>
        <w:tc>
          <w:tcPr>
            <w:tcW w:w="2898" w:type="dxa"/>
            <w:gridSpan w:val="4"/>
            <w:shd w:val="clear" w:color="auto" w:fill="auto"/>
          </w:tcPr>
          <w:p w:rsidR="006C2454" w:rsidRPr="00F41AC6" w:rsidRDefault="006C2454" w:rsidP="00481F21">
            <w:pPr>
              <w:spacing w:line="240" w:lineRule="auto"/>
              <w:rPr>
                <w:rFonts w:ascii="Times New Roman" w:hAnsi="Times New Roman"/>
                <w:color w:val="000000"/>
                <w:spacing w:val="-2"/>
              </w:rPr>
            </w:pPr>
            <w:r w:rsidRPr="00EE5802">
              <w:rPr>
                <w:rFonts w:ascii="Times New Roman" w:hAnsi="Times New Roman"/>
                <w:color w:val="000000"/>
                <w:spacing w:val="-2"/>
              </w:rPr>
              <w:t>Udostępnienie</w:t>
            </w:r>
            <w:r w:rsidDel="00EE5802">
              <w:rPr>
                <w:rFonts w:ascii="Times New Roman" w:hAnsi="Times New Roman"/>
                <w:color w:val="000000"/>
                <w:spacing w:val="-2"/>
              </w:rPr>
              <w:t xml:space="preserve"> </w:t>
            </w:r>
            <w:r>
              <w:rPr>
                <w:rFonts w:ascii="Times New Roman" w:hAnsi="Times New Roman"/>
                <w:color w:val="000000"/>
                <w:spacing w:val="-2"/>
              </w:rPr>
              <w:t xml:space="preserve">danych </w:t>
            </w:r>
            <w:r w:rsidRPr="00F41AC6">
              <w:rPr>
                <w:rFonts w:ascii="Times New Roman" w:hAnsi="Times New Roman"/>
                <w:color w:val="000000"/>
                <w:spacing w:val="-2"/>
              </w:rPr>
              <w:t xml:space="preserve">zgromadzonych w </w:t>
            </w:r>
            <w:r w:rsidR="000760BA">
              <w:rPr>
                <w:rFonts w:ascii="Times New Roman" w:hAnsi="Times New Roman"/>
                <w:color w:val="000000"/>
                <w:spacing w:val="-2"/>
              </w:rPr>
              <w:t>CEEB</w:t>
            </w:r>
            <w:r w:rsidRPr="00F41AC6">
              <w:rPr>
                <w:rFonts w:ascii="Times New Roman" w:hAnsi="Times New Roman"/>
                <w:color w:val="000000"/>
                <w:spacing w:val="-2"/>
              </w:rPr>
              <w:t xml:space="preserve"> w systemie teleinformatycznym</w:t>
            </w:r>
          </w:p>
        </w:tc>
      </w:tr>
      <w:tr w:rsidR="00580760" w:rsidRPr="008B4FE6" w:rsidTr="00481F21">
        <w:trPr>
          <w:gridAfter w:val="1"/>
          <w:wAfter w:w="9" w:type="dxa"/>
          <w:trHeight w:val="142"/>
        </w:trPr>
        <w:tc>
          <w:tcPr>
            <w:tcW w:w="2322" w:type="dxa"/>
            <w:gridSpan w:val="3"/>
            <w:shd w:val="clear" w:color="auto" w:fill="auto"/>
          </w:tcPr>
          <w:p w:rsidR="00580760" w:rsidRPr="00F41AC6" w:rsidRDefault="00580760" w:rsidP="00481F21">
            <w:pPr>
              <w:pStyle w:val="PKTpunkt"/>
              <w:spacing w:line="240" w:lineRule="auto"/>
              <w:ind w:left="0" w:firstLine="0"/>
              <w:rPr>
                <w:rFonts w:ascii="Times New Roman" w:hAnsi="Times New Roman" w:cs="Times New Roman"/>
                <w:sz w:val="22"/>
                <w:szCs w:val="22"/>
              </w:rPr>
            </w:pPr>
            <w:r>
              <w:rPr>
                <w:rFonts w:ascii="Times New Roman" w:hAnsi="Times New Roman" w:cs="Times New Roman"/>
                <w:sz w:val="22"/>
                <w:szCs w:val="22"/>
              </w:rPr>
              <w:lastRenderedPageBreak/>
              <w:t>Urząd Regulacji Energetyki</w:t>
            </w:r>
          </w:p>
        </w:tc>
        <w:tc>
          <w:tcPr>
            <w:tcW w:w="2393" w:type="dxa"/>
            <w:gridSpan w:val="4"/>
            <w:shd w:val="clear" w:color="auto" w:fill="auto"/>
          </w:tcPr>
          <w:p w:rsidR="00580760" w:rsidRPr="00F41AC6" w:rsidRDefault="00580760" w:rsidP="00481F21">
            <w:pPr>
              <w:spacing w:line="240" w:lineRule="auto"/>
              <w:rPr>
                <w:rFonts w:ascii="Times New Roman" w:hAnsi="Times New Roman"/>
                <w:color w:val="000000"/>
                <w:spacing w:val="-2"/>
              </w:rPr>
            </w:pPr>
            <w:r>
              <w:rPr>
                <w:rFonts w:ascii="Times New Roman" w:hAnsi="Times New Roman"/>
                <w:color w:val="000000"/>
                <w:spacing w:val="-2"/>
              </w:rPr>
              <w:t>1</w:t>
            </w:r>
          </w:p>
        </w:tc>
        <w:tc>
          <w:tcPr>
            <w:tcW w:w="3325" w:type="dxa"/>
            <w:gridSpan w:val="5"/>
            <w:shd w:val="clear" w:color="auto" w:fill="auto"/>
          </w:tcPr>
          <w:p w:rsidR="00580760" w:rsidRPr="00F41AC6" w:rsidRDefault="00580760" w:rsidP="00481F21">
            <w:pPr>
              <w:spacing w:line="240" w:lineRule="auto"/>
              <w:rPr>
                <w:rFonts w:ascii="Times New Roman" w:hAnsi="Times New Roman"/>
                <w:spacing w:val="-2"/>
              </w:rPr>
            </w:pPr>
            <w:r w:rsidRPr="00F41AC6">
              <w:rPr>
                <w:rFonts w:ascii="Times New Roman" w:hAnsi="Times New Roman"/>
                <w:spacing w:val="-2"/>
              </w:rPr>
              <w:t>Dane ogólnodostępne</w:t>
            </w:r>
          </w:p>
        </w:tc>
        <w:tc>
          <w:tcPr>
            <w:tcW w:w="2898" w:type="dxa"/>
            <w:gridSpan w:val="4"/>
            <w:shd w:val="clear" w:color="auto" w:fill="auto"/>
          </w:tcPr>
          <w:p w:rsidR="00580760" w:rsidRPr="00EE5802" w:rsidRDefault="00580760" w:rsidP="00481F21">
            <w:pPr>
              <w:spacing w:line="240" w:lineRule="auto"/>
              <w:jc w:val="both"/>
              <w:rPr>
                <w:rFonts w:ascii="Times New Roman" w:hAnsi="Times New Roman"/>
                <w:color w:val="000000"/>
                <w:spacing w:val="-2"/>
              </w:rPr>
            </w:pPr>
            <w:r w:rsidRPr="00EE5802">
              <w:rPr>
                <w:rFonts w:ascii="Times New Roman" w:hAnsi="Times New Roman"/>
                <w:color w:val="000000"/>
                <w:spacing w:val="-2"/>
              </w:rPr>
              <w:t>Udostępnienie</w:t>
            </w:r>
            <w:r w:rsidDel="00EE5802">
              <w:rPr>
                <w:rFonts w:ascii="Times New Roman" w:hAnsi="Times New Roman"/>
                <w:color w:val="000000"/>
                <w:spacing w:val="-2"/>
              </w:rPr>
              <w:t xml:space="preserve"> </w:t>
            </w:r>
            <w:r>
              <w:rPr>
                <w:rFonts w:ascii="Times New Roman" w:hAnsi="Times New Roman"/>
                <w:color w:val="000000"/>
                <w:spacing w:val="-2"/>
              </w:rPr>
              <w:t xml:space="preserve">danych </w:t>
            </w:r>
            <w:r w:rsidRPr="00F41AC6">
              <w:rPr>
                <w:rFonts w:ascii="Times New Roman" w:hAnsi="Times New Roman"/>
                <w:color w:val="000000"/>
                <w:spacing w:val="-2"/>
              </w:rPr>
              <w:t xml:space="preserve">zgromadzonych w </w:t>
            </w:r>
            <w:r>
              <w:rPr>
                <w:rFonts w:ascii="Times New Roman" w:hAnsi="Times New Roman"/>
                <w:color w:val="000000"/>
                <w:spacing w:val="-2"/>
              </w:rPr>
              <w:t>CEEB</w:t>
            </w:r>
            <w:r w:rsidRPr="00F41AC6">
              <w:rPr>
                <w:rFonts w:ascii="Times New Roman" w:hAnsi="Times New Roman"/>
                <w:color w:val="000000"/>
                <w:spacing w:val="-2"/>
              </w:rPr>
              <w:t xml:space="preserve"> w systemie teleinformatycznym</w:t>
            </w:r>
          </w:p>
        </w:tc>
      </w:tr>
      <w:tr w:rsidR="006C2454" w:rsidRPr="008B4FE6" w:rsidTr="00481F21">
        <w:trPr>
          <w:gridAfter w:val="1"/>
          <w:wAfter w:w="9" w:type="dxa"/>
          <w:trHeight w:val="142"/>
        </w:trPr>
        <w:tc>
          <w:tcPr>
            <w:tcW w:w="2322" w:type="dxa"/>
            <w:gridSpan w:val="3"/>
            <w:shd w:val="clear" w:color="auto" w:fill="auto"/>
          </w:tcPr>
          <w:p w:rsidR="006C2454" w:rsidRPr="00F41AC6" w:rsidRDefault="002B6613" w:rsidP="00481F21">
            <w:pPr>
              <w:pStyle w:val="PKTpunkt"/>
              <w:spacing w:line="240" w:lineRule="auto"/>
              <w:ind w:left="0" w:firstLine="0"/>
              <w:rPr>
                <w:rFonts w:ascii="Times New Roman" w:hAnsi="Times New Roman" w:cs="Times New Roman"/>
                <w:sz w:val="22"/>
                <w:szCs w:val="22"/>
              </w:rPr>
            </w:pPr>
            <w:r>
              <w:rPr>
                <w:rFonts w:ascii="Times New Roman" w:hAnsi="Times New Roman" w:cs="Times New Roman"/>
                <w:sz w:val="22"/>
                <w:szCs w:val="22"/>
              </w:rPr>
              <w:t>O</w:t>
            </w:r>
            <w:r w:rsidR="006C2454" w:rsidRPr="00F41AC6">
              <w:rPr>
                <w:rFonts w:ascii="Times New Roman" w:hAnsi="Times New Roman" w:cs="Times New Roman"/>
                <w:sz w:val="22"/>
                <w:szCs w:val="22"/>
              </w:rPr>
              <w:t>środki pomocy społecznej</w:t>
            </w:r>
            <w:r w:rsidR="00F143FA">
              <w:rPr>
                <w:rFonts w:ascii="Times New Roman" w:hAnsi="Times New Roman" w:cs="Times New Roman"/>
                <w:sz w:val="22"/>
                <w:szCs w:val="22"/>
              </w:rPr>
              <w:t>,</w:t>
            </w:r>
            <w:r w:rsidR="00CB6D3B">
              <w:rPr>
                <w:rFonts w:ascii="Times New Roman" w:hAnsi="Times New Roman" w:cs="Times New Roman"/>
                <w:sz w:val="22"/>
                <w:szCs w:val="22"/>
              </w:rPr>
              <w:t xml:space="preserve"> </w:t>
            </w:r>
            <w:r w:rsidR="00F143FA" w:rsidRPr="00AF14AA">
              <w:rPr>
                <w:rFonts w:ascii="Times New Roman" w:hAnsi="Times New Roman"/>
                <w:spacing w:val="-2"/>
              </w:rPr>
              <w:t xml:space="preserve">centra usług </w:t>
            </w:r>
            <w:r w:rsidR="00F143FA">
              <w:rPr>
                <w:rFonts w:ascii="Times New Roman" w:hAnsi="Times New Roman"/>
                <w:spacing w:val="-2"/>
              </w:rPr>
              <w:t>społecznych</w:t>
            </w:r>
            <w:r w:rsidR="00CB6D3B">
              <w:rPr>
                <w:rFonts w:ascii="Times New Roman" w:hAnsi="Times New Roman"/>
                <w:spacing w:val="-2"/>
              </w:rPr>
              <w:t>.</w:t>
            </w:r>
          </w:p>
        </w:tc>
        <w:tc>
          <w:tcPr>
            <w:tcW w:w="2393" w:type="dxa"/>
            <w:gridSpan w:val="4"/>
            <w:shd w:val="clear" w:color="auto" w:fill="auto"/>
          </w:tcPr>
          <w:p w:rsidR="00F143FA" w:rsidRDefault="00680C41" w:rsidP="00481F21">
            <w:pPr>
              <w:pStyle w:val="Akapitzlist"/>
              <w:numPr>
                <w:ilvl w:val="0"/>
                <w:numId w:val="30"/>
              </w:numPr>
              <w:spacing w:line="240" w:lineRule="auto"/>
              <w:rPr>
                <w:rFonts w:ascii="Times New Roman" w:hAnsi="Times New Roman"/>
                <w:color w:val="000000"/>
                <w:spacing w:val="-2"/>
              </w:rPr>
            </w:pPr>
            <w:r w:rsidRPr="00BA3A50">
              <w:rPr>
                <w:rFonts w:ascii="Times New Roman" w:hAnsi="Times New Roman"/>
                <w:color w:val="000000"/>
                <w:spacing w:val="-2"/>
              </w:rPr>
              <w:t>24</w:t>
            </w:r>
            <w:r w:rsidR="005B51AE">
              <w:rPr>
                <w:rFonts w:ascii="Times New Roman" w:hAnsi="Times New Roman"/>
                <w:color w:val="000000"/>
                <w:spacing w:val="-2"/>
              </w:rPr>
              <w:t>11</w:t>
            </w:r>
            <w:r w:rsidRPr="00BA3A50">
              <w:rPr>
                <w:rFonts w:ascii="Times New Roman" w:hAnsi="Times New Roman"/>
                <w:color w:val="000000"/>
                <w:spacing w:val="-2"/>
              </w:rPr>
              <w:t xml:space="preserve"> gmin </w:t>
            </w:r>
          </w:p>
          <w:p w:rsidR="00680C41" w:rsidRPr="00BA3A50" w:rsidRDefault="00680C41" w:rsidP="00481F21">
            <w:pPr>
              <w:pStyle w:val="Akapitzlist"/>
              <w:numPr>
                <w:ilvl w:val="0"/>
                <w:numId w:val="30"/>
              </w:numPr>
              <w:spacing w:line="240" w:lineRule="auto"/>
              <w:rPr>
                <w:rFonts w:ascii="Times New Roman" w:hAnsi="Times New Roman"/>
                <w:color w:val="000000"/>
                <w:spacing w:val="-2"/>
              </w:rPr>
            </w:pPr>
            <w:r w:rsidRPr="00BA3A50">
              <w:rPr>
                <w:rFonts w:ascii="Times New Roman" w:hAnsi="Times New Roman"/>
                <w:color w:val="000000"/>
                <w:spacing w:val="-2"/>
              </w:rPr>
              <w:t>66 miast na prawach powiatu</w:t>
            </w:r>
          </w:p>
          <w:p w:rsidR="006C2454" w:rsidRPr="00BA3A50" w:rsidRDefault="006C2454" w:rsidP="00481F21">
            <w:pPr>
              <w:pStyle w:val="Akapitzlist"/>
              <w:spacing w:line="240" w:lineRule="auto"/>
              <w:ind w:left="205"/>
              <w:rPr>
                <w:rFonts w:ascii="Times New Roman" w:hAnsi="Times New Roman"/>
                <w:color w:val="000000"/>
                <w:spacing w:val="-2"/>
              </w:rPr>
            </w:pPr>
          </w:p>
        </w:tc>
        <w:tc>
          <w:tcPr>
            <w:tcW w:w="3325" w:type="dxa"/>
            <w:gridSpan w:val="5"/>
            <w:shd w:val="clear" w:color="auto" w:fill="auto"/>
          </w:tcPr>
          <w:p w:rsidR="00680C41" w:rsidRDefault="00680C41" w:rsidP="00481F21">
            <w:pPr>
              <w:spacing w:line="240" w:lineRule="auto"/>
              <w:rPr>
                <w:rFonts w:ascii="Times New Roman" w:hAnsi="Times New Roman"/>
                <w:spacing w:val="-2"/>
              </w:rPr>
            </w:pPr>
            <w:r>
              <w:rPr>
                <w:rFonts w:ascii="Times New Roman" w:hAnsi="Times New Roman"/>
                <w:spacing w:val="-2"/>
              </w:rPr>
              <w:t>Ż</w:t>
            </w:r>
            <w:r w:rsidRPr="00680C41">
              <w:rPr>
                <w:rFonts w:ascii="Times New Roman" w:hAnsi="Times New Roman"/>
                <w:spacing w:val="-2"/>
              </w:rPr>
              <w:t>ródło: http://eteryt.stat.gov.pl/eteryt/ra</w:t>
            </w:r>
            <w:r>
              <w:rPr>
                <w:rFonts w:ascii="Times New Roman" w:hAnsi="Times New Roman"/>
                <w:spacing w:val="-2"/>
              </w:rPr>
              <w:t>porty/WebRaportZestawienie.aspx</w:t>
            </w:r>
            <w:r w:rsidRPr="00680C41">
              <w:rPr>
                <w:rFonts w:ascii="Times New Roman" w:hAnsi="Times New Roman"/>
                <w:spacing w:val="-2"/>
              </w:rPr>
              <w:t xml:space="preserve"> </w:t>
            </w:r>
          </w:p>
          <w:p w:rsidR="006C2454" w:rsidRPr="00F41AC6" w:rsidRDefault="00680C41" w:rsidP="00481F21">
            <w:pPr>
              <w:spacing w:line="240" w:lineRule="auto"/>
              <w:rPr>
                <w:rFonts w:ascii="Times New Roman" w:hAnsi="Times New Roman"/>
                <w:color w:val="000000"/>
                <w:spacing w:val="-2"/>
              </w:rPr>
            </w:pPr>
            <w:r w:rsidRPr="00680C41">
              <w:rPr>
                <w:rFonts w:ascii="Times New Roman" w:hAnsi="Times New Roman"/>
                <w:spacing w:val="-2"/>
              </w:rPr>
              <w:t xml:space="preserve"> </w:t>
            </w:r>
          </w:p>
        </w:tc>
        <w:tc>
          <w:tcPr>
            <w:tcW w:w="2898" w:type="dxa"/>
            <w:gridSpan w:val="4"/>
            <w:shd w:val="clear" w:color="auto" w:fill="auto"/>
          </w:tcPr>
          <w:p w:rsidR="00680C41" w:rsidRDefault="00680C41" w:rsidP="00481F21">
            <w:pPr>
              <w:spacing w:line="240" w:lineRule="auto"/>
              <w:jc w:val="both"/>
              <w:rPr>
                <w:rFonts w:ascii="Times New Roman" w:hAnsi="Times New Roman"/>
                <w:color w:val="000000"/>
                <w:spacing w:val="-2"/>
              </w:rPr>
            </w:pPr>
            <w:r w:rsidRPr="00EE5802">
              <w:rPr>
                <w:rFonts w:ascii="Times New Roman" w:hAnsi="Times New Roman"/>
                <w:color w:val="000000"/>
                <w:spacing w:val="-2"/>
              </w:rPr>
              <w:t>Konieczność uwzględnien</w:t>
            </w:r>
            <w:r>
              <w:rPr>
                <w:rFonts w:ascii="Times New Roman" w:hAnsi="Times New Roman"/>
                <w:color w:val="000000"/>
                <w:spacing w:val="-2"/>
              </w:rPr>
              <w:t>ia w dokonywanych czynnościach</w:t>
            </w:r>
          </w:p>
          <w:p w:rsidR="00680C41" w:rsidRPr="00680C41" w:rsidRDefault="00680C41" w:rsidP="00481F21">
            <w:pPr>
              <w:spacing w:line="240" w:lineRule="auto"/>
              <w:jc w:val="both"/>
              <w:rPr>
                <w:rFonts w:ascii="Times New Roman" w:hAnsi="Times New Roman"/>
                <w:color w:val="000000"/>
                <w:spacing w:val="-2"/>
              </w:rPr>
            </w:pPr>
            <w:r>
              <w:rPr>
                <w:rFonts w:ascii="Times New Roman" w:hAnsi="Times New Roman"/>
                <w:color w:val="000000"/>
                <w:spacing w:val="-2"/>
              </w:rPr>
              <w:t>informacji o przyznanych świadczeniach</w:t>
            </w:r>
            <w:r w:rsidRPr="00680C41">
              <w:rPr>
                <w:rFonts w:ascii="Times New Roman" w:hAnsi="Times New Roman"/>
                <w:color w:val="000000"/>
                <w:spacing w:val="-2"/>
              </w:rPr>
              <w:t xml:space="preserve"> z pomocy społecznej lub innych form wsparcia finansowego ze środków publicznych w zakresie:</w:t>
            </w:r>
          </w:p>
          <w:p w:rsidR="00680C41" w:rsidRDefault="00680C41" w:rsidP="00481F21">
            <w:pPr>
              <w:spacing w:line="240" w:lineRule="auto"/>
              <w:jc w:val="both"/>
              <w:rPr>
                <w:rFonts w:ascii="Times New Roman" w:hAnsi="Times New Roman"/>
                <w:color w:val="000000"/>
                <w:spacing w:val="-2"/>
              </w:rPr>
            </w:pPr>
            <w:r w:rsidRPr="00680C41">
              <w:rPr>
                <w:rFonts w:ascii="Times New Roman" w:hAnsi="Times New Roman"/>
                <w:color w:val="000000"/>
                <w:spacing w:val="-2"/>
              </w:rPr>
              <w:t xml:space="preserve">- dodatku mieszkaniowego, </w:t>
            </w:r>
          </w:p>
          <w:p w:rsidR="00680C41" w:rsidRPr="00680C41" w:rsidRDefault="00680C41" w:rsidP="00481F21">
            <w:pPr>
              <w:spacing w:line="240" w:lineRule="auto"/>
              <w:jc w:val="both"/>
              <w:rPr>
                <w:rFonts w:ascii="Times New Roman" w:hAnsi="Times New Roman"/>
                <w:color w:val="000000"/>
                <w:spacing w:val="-2"/>
              </w:rPr>
            </w:pPr>
            <w:r w:rsidRPr="00680C41">
              <w:rPr>
                <w:rFonts w:ascii="Times New Roman" w:hAnsi="Times New Roman"/>
                <w:color w:val="000000"/>
                <w:spacing w:val="-2"/>
              </w:rPr>
              <w:t xml:space="preserve">- dodatku energetycznego, </w:t>
            </w:r>
          </w:p>
          <w:p w:rsidR="00680C41" w:rsidRDefault="00680C41" w:rsidP="00481F21">
            <w:pPr>
              <w:spacing w:line="240" w:lineRule="auto"/>
              <w:jc w:val="both"/>
              <w:rPr>
                <w:rFonts w:ascii="Times New Roman" w:hAnsi="Times New Roman"/>
                <w:color w:val="000000"/>
                <w:spacing w:val="-2"/>
              </w:rPr>
            </w:pPr>
            <w:r>
              <w:rPr>
                <w:rFonts w:ascii="Times New Roman" w:hAnsi="Times New Roman"/>
                <w:color w:val="000000"/>
                <w:spacing w:val="-2"/>
              </w:rPr>
              <w:t>- zasiłku celowego na opał</w:t>
            </w:r>
          </w:p>
          <w:p w:rsidR="00680C41" w:rsidRDefault="00680C41" w:rsidP="00481F21">
            <w:pPr>
              <w:spacing w:line="240" w:lineRule="auto"/>
              <w:jc w:val="both"/>
              <w:rPr>
                <w:rFonts w:ascii="Times New Roman" w:hAnsi="Times New Roman"/>
                <w:color w:val="000000"/>
                <w:spacing w:val="-2"/>
              </w:rPr>
            </w:pPr>
            <w:r w:rsidRPr="00EE5802">
              <w:rPr>
                <w:rFonts w:ascii="Times New Roman" w:hAnsi="Times New Roman"/>
                <w:color w:val="000000"/>
                <w:spacing w:val="-2"/>
              </w:rPr>
              <w:t xml:space="preserve">oraz przekazania do CEEB danych za pośrednictwem systemu teleinformatycznego obsługującego </w:t>
            </w:r>
            <w:r w:rsidR="000760BA">
              <w:rPr>
                <w:rFonts w:ascii="Times New Roman" w:hAnsi="Times New Roman"/>
                <w:color w:val="000000"/>
                <w:spacing w:val="-2"/>
              </w:rPr>
              <w:t>CEEB</w:t>
            </w:r>
            <w:r w:rsidRPr="00EE5802">
              <w:rPr>
                <w:rFonts w:ascii="Times New Roman" w:hAnsi="Times New Roman"/>
                <w:color w:val="000000"/>
                <w:spacing w:val="-2"/>
              </w:rPr>
              <w:t>.</w:t>
            </w:r>
          </w:p>
          <w:p w:rsidR="006C2454" w:rsidRPr="00F41AC6" w:rsidRDefault="006C2454" w:rsidP="00481F21">
            <w:pPr>
              <w:spacing w:line="240" w:lineRule="auto"/>
              <w:jc w:val="both"/>
              <w:rPr>
                <w:rFonts w:ascii="Times New Roman" w:hAnsi="Times New Roman"/>
                <w:color w:val="000000"/>
                <w:spacing w:val="-2"/>
              </w:rPr>
            </w:pPr>
            <w:r w:rsidRPr="00EE5802">
              <w:rPr>
                <w:rFonts w:ascii="Times New Roman" w:hAnsi="Times New Roman"/>
                <w:color w:val="000000"/>
                <w:spacing w:val="-2"/>
              </w:rPr>
              <w:t>Udostępnienie</w:t>
            </w:r>
            <w:r w:rsidDel="00EE5802">
              <w:rPr>
                <w:rFonts w:ascii="Times New Roman" w:hAnsi="Times New Roman"/>
                <w:color w:val="000000"/>
                <w:spacing w:val="-2"/>
              </w:rPr>
              <w:t xml:space="preserve"> </w:t>
            </w:r>
            <w:r>
              <w:rPr>
                <w:rFonts w:ascii="Times New Roman" w:hAnsi="Times New Roman"/>
                <w:color w:val="000000"/>
                <w:spacing w:val="-2"/>
              </w:rPr>
              <w:t xml:space="preserve">danych </w:t>
            </w:r>
            <w:r w:rsidRPr="00F41AC6">
              <w:rPr>
                <w:rFonts w:ascii="Times New Roman" w:hAnsi="Times New Roman"/>
                <w:color w:val="000000"/>
                <w:spacing w:val="-2"/>
              </w:rPr>
              <w:t xml:space="preserve">zgromadzonych w </w:t>
            </w:r>
            <w:r w:rsidR="000760BA">
              <w:rPr>
                <w:rFonts w:ascii="Times New Roman" w:hAnsi="Times New Roman"/>
                <w:color w:val="000000"/>
                <w:spacing w:val="-2"/>
              </w:rPr>
              <w:t>CEEB</w:t>
            </w:r>
            <w:r w:rsidR="00ED5F2B">
              <w:rPr>
                <w:rFonts w:ascii="Times New Roman" w:hAnsi="Times New Roman"/>
                <w:color w:val="000000"/>
                <w:spacing w:val="-2"/>
              </w:rPr>
              <w:t xml:space="preserve"> </w:t>
            </w:r>
            <w:r w:rsidRPr="00F41AC6">
              <w:rPr>
                <w:rFonts w:ascii="Times New Roman" w:hAnsi="Times New Roman"/>
                <w:color w:val="000000"/>
                <w:spacing w:val="-2"/>
              </w:rPr>
              <w:t>w systemie teleinformatycznym</w:t>
            </w:r>
          </w:p>
        </w:tc>
      </w:tr>
      <w:tr w:rsidR="000D0175" w:rsidRPr="008B4FE6" w:rsidTr="00481F21">
        <w:trPr>
          <w:gridAfter w:val="1"/>
          <w:wAfter w:w="9" w:type="dxa"/>
          <w:trHeight w:val="142"/>
        </w:trPr>
        <w:tc>
          <w:tcPr>
            <w:tcW w:w="2322" w:type="dxa"/>
            <w:gridSpan w:val="3"/>
            <w:shd w:val="clear" w:color="auto" w:fill="auto"/>
          </w:tcPr>
          <w:p w:rsidR="000D0175" w:rsidRDefault="000D0175" w:rsidP="000D0175">
            <w:pPr>
              <w:pStyle w:val="PKTpunkt"/>
              <w:spacing w:line="240" w:lineRule="auto"/>
              <w:ind w:left="0" w:firstLine="0"/>
              <w:rPr>
                <w:rFonts w:ascii="Times New Roman" w:hAnsi="Times New Roman" w:cs="Times New Roman"/>
                <w:sz w:val="22"/>
                <w:szCs w:val="22"/>
              </w:rPr>
            </w:pPr>
            <w:r>
              <w:rPr>
                <w:rFonts w:ascii="Times New Roman" w:hAnsi="Times New Roman" w:cs="Times New Roman"/>
                <w:sz w:val="22"/>
                <w:szCs w:val="22"/>
              </w:rPr>
              <w:lastRenderedPageBreak/>
              <w:t>Straż gminna i miejska</w:t>
            </w:r>
          </w:p>
        </w:tc>
        <w:tc>
          <w:tcPr>
            <w:tcW w:w="2393" w:type="dxa"/>
            <w:gridSpan w:val="4"/>
            <w:shd w:val="clear" w:color="auto" w:fill="auto"/>
          </w:tcPr>
          <w:p w:rsidR="000D0175" w:rsidRPr="00BA3A50" w:rsidRDefault="000D0175" w:rsidP="000D0175">
            <w:pPr>
              <w:pStyle w:val="Akapitzlist"/>
              <w:numPr>
                <w:ilvl w:val="0"/>
                <w:numId w:val="30"/>
              </w:numPr>
              <w:spacing w:line="240" w:lineRule="auto"/>
              <w:rPr>
                <w:rFonts w:ascii="Times New Roman" w:hAnsi="Times New Roman"/>
                <w:color w:val="000000"/>
                <w:spacing w:val="-2"/>
              </w:rPr>
            </w:pPr>
            <w:r>
              <w:rPr>
                <w:rFonts w:ascii="Times New Roman" w:hAnsi="Times New Roman"/>
                <w:color w:val="000000"/>
                <w:spacing w:val="-2"/>
              </w:rPr>
              <w:t xml:space="preserve">490 – w tym </w:t>
            </w:r>
            <w:r w:rsidRPr="00D94F77">
              <w:rPr>
                <w:rFonts w:ascii="Times New Roman" w:hAnsi="Times New Roman"/>
                <w:color w:val="000000"/>
                <w:spacing w:val="-2"/>
              </w:rPr>
              <w:t>409 straży miejskich i 81 straży gminnych</w:t>
            </w:r>
            <w:r>
              <w:rPr>
                <w:rFonts w:ascii="Times New Roman" w:hAnsi="Times New Roman"/>
                <w:color w:val="000000"/>
                <w:spacing w:val="-2"/>
              </w:rPr>
              <w:t xml:space="preserve"> (stan na dzień 31 grudnia 2017 r.)</w:t>
            </w:r>
          </w:p>
        </w:tc>
        <w:tc>
          <w:tcPr>
            <w:tcW w:w="3325" w:type="dxa"/>
            <w:gridSpan w:val="5"/>
            <w:shd w:val="clear" w:color="auto" w:fill="auto"/>
          </w:tcPr>
          <w:p w:rsidR="000D0175" w:rsidRDefault="000D0175" w:rsidP="000D0175">
            <w:pPr>
              <w:spacing w:line="240" w:lineRule="auto"/>
              <w:rPr>
                <w:rFonts w:ascii="Times New Roman" w:hAnsi="Times New Roman"/>
                <w:spacing w:val="-2"/>
              </w:rPr>
            </w:pPr>
            <w:r>
              <w:rPr>
                <w:rFonts w:ascii="Times New Roman" w:hAnsi="Times New Roman"/>
                <w:spacing w:val="-2"/>
              </w:rPr>
              <w:t>Żródło:</w:t>
            </w:r>
          </w:p>
          <w:p w:rsidR="000D0175" w:rsidRDefault="000D0175" w:rsidP="000D0175">
            <w:pPr>
              <w:spacing w:line="240" w:lineRule="auto"/>
              <w:rPr>
                <w:rFonts w:ascii="Times New Roman" w:hAnsi="Times New Roman"/>
                <w:spacing w:val="-2"/>
              </w:rPr>
            </w:pPr>
            <w:r w:rsidRPr="00D94F77">
              <w:rPr>
                <w:rFonts w:ascii="Times New Roman" w:hAnsi="Times New Roman"/>
                <w:spacing w:val="-2"/>
              </w:rPr>
              <w:t>https://www.gov.pl/web/mswia/o-strazach-gminnych-i-miejskich-w-mswia</w:t>
            </w:r>
          </w:p>
        </w:tc>
        <w:tc>
          <w:tcPr>
            <w:tcW w:w="2898" w:type="dxa"/>
            <w:gridSpan w:val="4"/>
            <w:shd w:val="clear" w:color="auto" w:fill="auto"/>
          </w:tcPr>
          <w:p w:rsidR="000D0175" w:rsidRPr="00D94F77" w:rsidRDefault="000D0175" w:rsidP="000D0175">
            <w:pPr>
              <w:spacing w:line="240" w:lineRule="auto"/>
              <w:jc w:val="both"/>
              <w:rPr>
                <w:rFonts w:ascii="Times New Roman" w:hAnsi="Times New Roman"/>
                <w:color w:val="000000"/>
                <w:spacing w:val="-2"/>
              </w:rPr>
            </w:pPr>
            <w:r w:rsidRPr="00D94F77">
              <w:rPr>
                <w:rFonts w:ascii="Times New Roman" w:hAnsi="Times New Roman"/>
                <w:color w:val="000000"/>
                <w:spacing w:val="-2"/>
              </w:rPr>
              <w:t xml:space="preserve">Konieczność uwzględnienia w dokonywanych czynnościach: 1) kontrolnych wszystkich źródeł ciepła, źródeł spalania paliw o nominalnej mocy cieplnej mniejszej niż 1 MW, źródeł energii elektrycznej, </w:t>
            </w:r>
          </w:p>
          <w:p w:rsidR="000D0175" w:rsidRPr="00D94F77" w:rsidRDefault="000D0175" w:rsidP="000D0175">
            <w:pPr>
              <w:spacing w:line="240" w:lineRule="auto"/>
              <w:jc w:val="both"/>
              <w:rPr>
                <w:rFonts w:ascii="Times New Roman" w:hAnsi="Times New Roman"/>
                <w:color w:val="000000"/>
                <w:spacing w:val="-2"/>
              </w:rPr>
            </w:pPr>
            <w:r w:rsidRPr="00D94F77">
              <w:rPr>
                <w:rFonts w:ascii="Times New Roman" w:hAnsi="Times New Roman"/>
                <w:color w:val="000000"/>
                <w:spacing w:val="-2"/>
              </w:rPr>
              <w:t>2)</w:t>
            </w:r>
            <w:r>
              <w:rPr>
                <w:rFonts w:ascii="Times New Roman" w:hAnsi="Times New Roman"/>
                <w:color w:val="000000"/>
                <w:spacing w:val="-2"/>
              </w:rPr>
              <w:t xml:space="preserve"> </w:t>
            </w:r>
            <w:r w:rsidRPr="00D94F77">
              <w:rPr>
                <w:rFonts w:ascii="Times New Roman" w:hAnsi="Times New Roman"/>
                <w:color w:val="000000"/>
                <w:spacing w:val="-2"/>
              </w:rPr>
              <w:t xml:space="preserve">inwentaryzacji budynków, </w:t>
            </w:r>
          </w:p>
          <w:p w:rsidR="000D0175" w:rsidRPr="00EE5802" w:rsidRDefault="000D0175" w:rsidP="000D0175">
            <w:pPr>
              <w:spacing w:line="240" w:lineRule="auto"/>
              <w:jc w:val="both"/>
              <w:rPr>
                <w:rFonts w:ascii="Times New Roman" w:hAnsi="Times New Roman"/>
                <w:color w:val="000000"/>
                <w:spacing w:val="-2"/>
              </w:rPr>
            </w:pPr>
            <w:r w:rsidRPr="00D94F77">
              <w:rPr>
                <w:rFonts w:ascii="Times New Roman" w:hAnsi="Times New Roman"/>
                <w:color w:val="000000"/>
                <w:spacing w:val="-2"/>
              </w:rPr>
              <w:t>- oraz przekazania do CEEB danych za pośrednictwem systemu teleinformatycznego obsługującego CEEB.</w:t>
            </w:r>
            <w:r>
              <w:rPr>
                <w:rFonts w:ascii="Times New Roman" w:hAnsi="Times New Roman"/>
                <w:color w:val="000000"/>
                <w:spacing w:val="-2"/>
              </w:rPr>
              <w:t xml:space="preserve"> </w:t>
            </w:r>
          </w:p>
        </w:tc>
      </w:tr>
      <w:tr w:rsidR="00100D4B" w:rsidRPr="008B4FE6" w:rsidTr="00481F21">
        <w:trPr>
          <w:gridAfter w:val="1"/>
          <w:wAfter w:w="9" w:type="dxa"/>
          <w:trHeight w:val="142"/>
        </w:trPr>
        <w:tc>
          <w:tcPr>
            <w:tcW w:w="2322" w:type="dxa"/>
            <w:gridSpan w:val="3"/>
            <w:shd w:val="clear" w:color="auto" w:fill="auto"/>
          </w:tcPr>
          <w:p w:rsidR="00100D4B" w:rsidRPr="009229C5" w:rsidRDefault="00100D4B" w:rsidP="000D0175">
            <w:pPr>
              <w:spacing w:line="240" w:lineRule="auto"/>
              <w:rPr>
                <w:rFonts w:ascii="Times New Roman" w:hAnsi="Times New Roman"/>
                <w:color w:val="000000"/>
              </w:rPr>
            </w:pPr>
            <w:r>
              <w:rPr>
                <w:rFonts w:ascii="Times New Roman" w:hAnsi="Times New Roman"/>
                <w:color w:val="000000"/>
              </w:rPr>
              <w:t>Zakłady ubezpieczeń</w:t>
            </w:r>
          </w:p>
        </w:tc>
        <w:tc>
          <w:tcPr>
            <w:tcW w:w="2393" w:type="dxa"/>
            <w:gridSpan w:val="4"/>
            <w:shd w:val="clear" w:color="auto" w:fill="auto"/>
          </w:tcPr>
          <w:p w:rsidR="00D02251" w:rsidRDefault="00D02251" w:rsidP="007D011C">
            <w:pPr>
              <w:spacing w:line="240" w:lineRule="auto"/>
              <w:jc w:val="both"/>
              <w:rPr>
                <w:rFonts w:ascii="Times New Roman" w:hAnsi="Times New Roman"/>
                <w:color w:val="000000"/>
                <w:spacing w:val="-2"/>
              </w:rPr>
            </w:pPr>
            <w:r>
              <w:rPr>
                <w:rFonts w:ascii="Times New Roman" w:hAnsi="Times New Roman"/>
                <w:color w:val="000000"/>
                <w:spacing w:val="-2"/>
              </w:rPr>
              <w:t xml:space="preserve">- 20 </w:t>
            </w:r>
            <w:r w:rsidRPr="009229C5">
              <w:rPr>
                <w:rFonts w:ascii="Times New Roman" w:hAnsi="Times New Roman"/>
                <w:color w:val="000000"/>
                <w:spacing w:val="-2"/>
              </w:rPr>
              <w:t xml:space="preserve">zakładów ubezpieczeń </w:t>
            </w:r>
          </w:p>
          <w:p w:rsidR="00D02251" w:rsidRDefault="00D02251" w:rsidP="007D011C">
            <w:pPr>
              <w:spacing w:line="240" w:lineRule="auto"/>
              <w:rPr>
                <w:rFonts w:ascii="Times New Roman" w:hAnsi="Times New Roman"/>
                <w:color w:val="000000"/>
                <w:spacing w:val="-2"/>
              </w:rPr>
            </w:pPr>
          </w:p>
          <w:p w:rsidR="00100D4B" w:rsidRDefault="00D02251" w:rsidP="007D011C">
            <w:pPr>
              <w:spacing w:line="240" w:lineRule="auto"/>
              <w:rPr>
                <w:rFonts w:ascii="Times New Roman" w:hAnsi="Times New Roman"/>
                <w:color w:val="000000"/>
                <w:spacing w:val="-2"/>
              </w:rPr>
            </w:pPr>
            <w:r>
              <w:rPr>
                <w:rFonts w:ascii="Times New Roman" w:hAnsi="Times New Roman"/>
                <w:color w:val="000000"/>
                <w:spacing w:val="-2"/>
              </w:rPr>
              <w:t xml:space="preserve">- </w:t>
            </w:r>
            <w:r w:rsidRPr="009229C5">
              <w:rPr>
                <w:rFonts w:ascii="Times New Roman" w:hAnsi="Times New Roman"/>
                <w:color w:val="000000"/>
                <w:spacing w:val="-2"/>
              </w:rPr>
              <w:t>7 towarzystw</w:t>
            </w:r>
            <w:r>
              <w:rPr>
                <w:rFonts w:ascii="Times New Roman" w:hAnsi="Times New Roman"/>
                <w:color w:val="000000"/>
                <w:spacing w:val="-2"/>
              </w:rPr>
              <w:t xml:space="preserve"> </w:t>
            </w:r>
            <w:r w:rsidRPr="009229C5">
              <w:rPr>
                <w:rFonts w:ascii="Times New Roman" w:hAnsi="Times New Roman"/>
                <w:color w:val="000000"/>
                <w:spacing w:val="-2"/>
              </w:rPr>
              <w:t>ubezpieczeń</w:t>
            </w:r>
            <w:r>
              <w:rPr>
                <w:rFonts w:ascii="Times New Roman" w:hAnsi="Times New Roman"/>
                <w:color w:val="000000"/>
                <w:spacing w:val="-2"/>
              </w:rPr>
              <w:t xml:space="preserve"> </w:t>
            </w:r>
            <w:r w:rsidRPr="009229C5">
              <w:rPr>
                <w:rFonts w:ascii="Times New Roman" w:hAnsi="Times New Roman"/>
                <w:color w:val="000000"/>
                <w:spacing w:val="-2"/>
              </w:rPr>
              <w:t>wzajemnych</w:t>
            </w:r>
          </w:p>
          <w:p w:rsidR="00D02251" w:rsidRPr="009229C5" w:rsidRDefault="00D02251" w:rsidP="009229C5">
            <w:pPr>
              <w:spacing w:line="240" w:lineRule="auto"/>
              <w:rPr>
                <w:rFonts w:ascii="Times New Roman" w:hAnsi="Times New Roman"/>
                <w:color w:val="000000"/>
                <w:spacing w:val="-2"/>
              </w:rPr>
            </w:pPr>
          </w:p>
          <w:p w:rsidR="00D02251" w:rsidRPr="009229C5" w:rsidRDefault="00D02251" w:rsidP="009229C5">
            <w:pPr>
              <w:spacing w:line="240" w:lineRule="auto"/>
              <w:jc w:val="both"/>
              <w:rPr>
                <w:rFonts w:ascii="Times New Roman" w:hAnsi="Times New Roman"/>
                <w:color w:val="000000"/>
                <w:spacing w:val="-2"/>
              </w:rPr>
            </w:pPr>
            <w:r>
              <w:rPr>
                <w:rFonts w:ascii="Times New Roman" w:hAnsi="Times New Roman"/>
                <w:color w:val="000000"/>
                <w:spacing w:val="-2"/>
              </w:rPr>
              <w:t xml:space="preserve">- </w:t>
            </w:r>
            <w:r w:rsidRPr="009229C5">
              <w:rPr>
                <w:rFonts w:ascii="Times New Roman" w:hAnsi="Times New Roman"/>
                <w:color w:val="000000"/>
                <w:spacing w:val="-2"/>
              </w:rPr>
              <w:t xml:space="preserve">20 oddziałów zakładów ubezpieczeń państw członkowskich UE oraz państw członkowskich </w:t>
            </w:r>
            <w:r w:rsidRPr="009229C5">
              <w:rPr>
                <w:rFonts w:ascii="Times New Roman" w:hAnsi="Times New Roman"/>
                <w:color w:val="000000"/>
                <w:spacing w:val="-2"/>
              </w:rPr>
              <w:lastRenderedPageBreak/>
              <w:t>Europejskiego</w:t>
            </w:r>
            <w:r>
              <w:rPr>
                <w:rFonts w:ascii="Times New Roman" w:hAnsi="Times New Roman"/>
                <w:color w:val="000000"/>
                <w:spacing w:val="-2"/>
              </w:rPr>
              <w:t xml:space="preserve"> </w:t>
            </w:r>
            <w:r w:rsidRPr="009229C5">
              <w:rPr>
                <w:rFonts w:ascii="Times New Roman" w:hAnsi="Times New Roman"/>
                <w:color w:val="000000"/>
                <w:spacing w:val="-2"/>
              </w:rPr>
              <w:t>Porozumienia o Wolnym Handlu (EFTA) – stron umowy o Europejskim Obszarze Gospodarczym (EEA)</w:t>
            </w:r>
          </w:p>
        </w:tc>
        <w:tc>
          <w:tcPr>
            <w:tcW w:w="3325" w:type="dxa"/>
            <w:gridSpan w:val="5"/>
            <w:shd w:val="clear" w:color="auto" w:fill="auto"/>
          </w:tcPr>
          <w:p w:rsidR="00100D4B" w:rsidRDefault="00D02251" w:rsidP="009229C5">
            <w:pPr>
              <w:spacing w:line="240" w:lineRule="auto"/>
              <w:rPr>
                <w:rFonts w:ascii="Times New Roman" w:hAnsi="Times New Roman"/>
                <w:color w:val="000000"/>
                <w:spacing w:val="-2"/>
              </w:rPr>
            </w:pPr>
            <w:r>
              <w:rPr>
                <w:rFonts w:ascii="Times New Roman" w:hAnsi="Times New Roman"/>
                <w:color w:val="000000"/>
                <w:spacing w:val="-2"/>
              </w:rPr>
              <w:lastRenderedPageBreak/>
              <w:t>Żródło:</w:t>
            </w:r>
          </w:p>
          <w:p w:rsidR="00D02251" w:rsidRDefault="001D323E" w:rsidP="007D011C">
            <w:pPr>
              <w:pStyle w:val="Akapitzlist"/>
              <w:numPr>
                <w:ilvl w:val="1"/>
                <w:numId w:val="28"/>
              </w:numPr>
              <w:spacing w:line="240" w:lineRule="auto"/>
              <w:rPr>
                <w:rFonts w:ascii="Times New Roman" w:hAnsi="Times New Roman"/>
                <w:color w:val="000000"/>
                <w:spacing w:val="-2"/>
              </w:rPr>
            </w:pPr>
            <w:hyperlink r:id="rId13" w:history="1">
              <w:r w:rsidR="00D02251" w:rsidRPr="009229C5">
                <w:rPr>
                  <w:rStyle w:val="Hipercze"/>
                  <w:rFonts w:ascii="Times New Roman" w:hAnsi="Times New Roman"/>
                  <w:spacing w:val="-2"/>
                </w:rPr>
                <w:t>https://www.knf.gov.pl/podmioty/Podmioty_rynku_ubezpieczeniowego/Dzial_II_pozostale_ubezpieczenia_zaklady_ubezpieczen_dzialajace_w_formie_spolki_akcyjnej</w:t>
              </w:r>
            </w:hyperlink>
          </w:p>
          <w:p w:rsidR="00D02251" w:rsidRDefault="001D323E" w:rsidP="007D011C">
            <w:pPr>
              <w:pStyle w:val="Akapitzlist"/>
              <w:numPr>
                <w:ilvl w:val="1"/>
                <w:numId w:val="28"/>
              </w:numPr>
              <w:spacing w:line="240" w:lineRule="auto"/>
              <w:rPr>
                <w:rFonts w:ascii="Times New Roman" w:hAnsi="Times New Roman"/>
                <w:color w:val="000000"/>
                <w:spacing w:val="-2"/>
              </w:rPr>
            </w:pPr>
            <w:hyperlink r:id="rId14" w:history="1">
              <w:r w:rsidR="00D02251" w:rsidRPr="00A96696">
                <w:rPr>
                  <w:rStyle w:val="Hipercze"/>
                  <w:rFonts w:ascii="Times New Roman" w:hAnsi="Times New Roman"/>
                  <w:spacing w:val="-2"/>
                </w:rPr>
                <w:t>https://www.knf.gov.pl/podmioty/Podmioty_rynku_ubezpieczeniowego/Dzial_II_pozostale_ubezpieczenia_zaklady_ubezpieczen_dzialajace_w_formie_TUW</w:t>
              </w:r>
            </w:hyperlink>
          </w:p>
          <w:p w:rsidR="00D02251" w:rsidRPr="009229C5" w:rsidRDefault="001D323E" w:rsidP="009229C5">
            <w:pPr>
              <w:pStyle w:val="Akapitzlist"/>
              <w:numPr>
                <w:ilvl w:val="1"/>
                <w:numId w:val="28"/>
              </w:numPr>
              <w:spacing w:line="240" w:lineRule="auto"/>
              <w:rPr>
                <w:rFonts w:ascii="Times New Roman" w:hAnsi="Times New Roman"/>
                <w:color w:val="000000"/>
                <w:spacing w:val="-2"/>
              </w:rPr>
            </w:pPr>
            <w:hyperlink r:id="rId15" w:history="1">
              <w:r w:rsidR="00D02251" w:rsidRPr="00A96696">
                <w:rPr>
                  <w:rStyle w:val="Hipercze"/>
                  <w:rFonts w:ascii="Times New Roman" w:hAnsi="Times New Roman"/>
                  <w:spacing w:val="-2"/>
                </w:rPr>
                <w:t>https://www.knf.gov.pl/podmioty/Podmioty_rynku_ubezpieczeniowego/Dzial_II_pozostale_ubezpieczenia_osobowe_i_majatkowe_Oddzialy_zagranicznych_zakladow_ubezpieczen</w:t>
              </w:r>
            </w:hyperlink>
            <w:r w:rsidR="00D02251">
              <w:rPr>
                <w:rFonts w:ascii="Times New Roman" w:hAnsi="Times New Roman"/>
                <w:color w:val="000000"/>
                <w:spacing w:val="-2"/>
              </w:rPr>
              <w:t xml:space="preserve"> </w:t>
            </w:r>
          </w:p>
        </w:tc>
        <w:tc>
          <w:tcPr>
            <w:tcW w:w="2898" w:type="dxa"/>
            <w:gridSpan w:val="4"/>
            <w:shd w:val="clear" w:color="auto" w:fill="auto"/>
          </w:tcPr>
          <w:p w:rsidR="00100D4B" w:rsidRPr="009A3181" w:rsidRDefault="00D02251" w:rsidP="009229C5">
            <w:pPr>
              <w:spacing w:line="240" w:lineRule="auto"/>
              <w:jc w:val="both"/>
              <w:rPr>
                <w:rFonts w:ascii="Times New Roman" w:hAnsi="Times New Roman"/>
                <w:color w:val="000000"/>
              </w:rPr>
            </w:pPr>
            <w:r w:rsidRPr="00D02251">
              <w:rPr>
                <w:rFonts w:ascii="Times New Roman" w:hAnsi="Times New Roman"/>
                <w:color w:val="000000"/>
              </w:rPr>
              <w:t>Udostępnienie danych zgromadzonych w CEEB w systemie teleinformatycznym.</w:t>
            </w:r>
          </w:p>
        </w:tc>
      </w:tr>
      <w:tr w:rsidR="000D0175" w:rsidRPr="008B4FE6" w:rsidTr="00481F21">
        <w:trPr>
          <w:gridAfter w:val="1"/>
          <w:wAfter w:w="9" w:type="dxa"/>
          <w:trHeight w:val="142"/>
        </w:trPr>
        <w:tc>
          <w:tcPr>
            <w:tcW w:w="2322" w:type="dxa"/>
            <w:gridSpan w:val="3"/>
            <w:shd w:val="clear" w:color="auto" w:fill="auto"/>
          </w:tcPr>
          <w:p w:rsidR="000D0175" w:rsidRPr="009A3181" w:rsidRDefault="000D0175" w:rsidP="000D0175">
            <w:pPr>
              <w:spacing w:line="240" w:lineRule="auto"/>
              <w:rPr>
                <w:rFonts w:ascii="Times New Roman" w:hAnsi="Times New Roman"/>
                <w:b/>
                <w:color w:val="000000"/>
              </w:rPr>
            </w:pPr>
            <w:r>
              <w:rPr>
                <w:rFonts w:ascii="Times New Roman" w:hAnsi="Times New Roman"/>
                <w:b/>
                <w:color w:val="000000"/>
              </w:rPr>
              <w:t>Dodatkowo w</w:t>
            </w:r>
            <w:r w:rsidRPr="009A3181">
              <w:rPr>
                <w:rFonts w:ascii="Times New Roman" w:hAnsi="Times New Roman"/>
                <w:b/>
                <w:color w:val="000000"/>
              </w:rPr>
              <w:t xml:space="preserve"> zakresie Programu Stop Smog (bez zmian wobec pierwotnej regulacji):</w:t>
            </w:r>
          </w:p>
          <w:p w:rsidR="000D0175" w:rsidRPr="009A3181" w:rsidRDefault="000D0175" w:rsidP="000D0175">
            <w:pPr>
              <w:spacing w:line="240" w:lineRule="auto"/>
              <w:rPr>
                <w:rFonts w:ascii="Times New Roman" w:hAnsi="Times New Roman"/>
                <w:color w:val="000000"/>
              </w:rPr>
            </w:pPr>
          </w:p>
          <w:p w:rsidR="000D0175" w:rsidRPr="009A3181" w:rsidRDefault="000D0175" w:rsidP="000D0175">
            <w:pPr>
              <w:spacing w:line="240" w:lineRule="auto"/>
              <w:jc w:val="both"/>
              <w:rPr>
                <w:rFonts w:ascii="Times New Roman" w:hAnsi="Times New Roman"/>
                <w:color w:val="000000"/>
                <w:spacing w:val="-2"/>
              </w:rPr>
            </w:pPr>
            <w:r w:rsidRPr="009A3181">
              <w:rPr>
                <w:rFonts w:ascii="Times New Roman" w:hAnsi="Times New Roman"/>
                <w:color w:val="000000"/>
              </w:rPr>
              <w:t>Rodziny ubogie energetycznie</w:t>
            </w:r>
            <w:r>
              <w:rPr>
                <w:rFonts w:ascii="Times New Roman" w:hAnsi="Times New Roman"/>
                <w:color w:val="000000"/>
              </w:rPr>
              <w:t xml:space="preserve"> </w:t>
            </w:r>
            <w:r w:rsidRPr="009A3181">
              <w:rPr>
                <w:rFonts w:ascii="Times New Roman" w:hAnsi="Times New Roman"/>
                <w:color w:val="000000"/>
              </w:rPr>
              <w:t>zamieszkujące gospodarstwa domowe w budynkach</w:t>
            </w:r>
            <w:r>
              <w:rPr>
                <w:rFonts w:ascii="Times New Roman" w:hAnsi="Times New Roman"/>
                <w:color w:val="000000"/>
              </w:rPr>
              <w:t xml:space="preserve"> </w:t>
            </w:r>
            <w:r w:rsidRPr="009A3181">
              <w:rPr>
                <w:rFonts w:ascii="Times New Roman" w:hAnsi="Times New Roman"/>
                <w:color w:val="000000"/>
              </w:rPr>
              <w:t xml:space="preserve">jednorodzinnych (GDJ), w których szczególnie odczuwalne jest zjawisko smogu, </w:t>
            </w:r>
            <w:r w:rsidRPr="009A3181">
              <w:rPr>
                <w:rFonts w:ascii="Times New Roman" w:hAnsi="Times New Roman"/>
                <w:color w:val="000000"/>
              </w:rPr>
              <w:lastRenderedPageBreak/>
              <w:t>w gminach nie posiadających</w:t>
            </w:r>
            <w:r>
              <w:rPr>
                <w:rFonts w:ascii="Times New Roman" w:hAnsi="Times New Roman"/>
                <w:color w:val="000000"/>
              </w:rPr>
              <w:t xml:space="preserve"> </w:t>
            </w:r>
            <w:r w:rsidRPr="009A3181">
              <w:rPr>
                <w:rFonts w:ascii="Times New Roman" w:hAnsi="Times New Roman"/>
                <w:color w:val="000000"/>
              </w:rPr>
              <w:t>wystarczających środków na wielkoskalowe programy dopłat do przedsięwzięć</w:t>
            </w:r>
            <w:r>
              <w:rPr>
                <w:rFonts w:ascii="Times New Roman" w:hAnsi="Times New Roman"/>
                <w:color w:val="000000"/>
              </w:rPr>
              <w:t xml:space="preserve"> </w:t>
            </w:r>
            <w:r w:rsidRPr="009A3181">
              <w:rPr>
                <w:rFonts w:ascii="Times New Roman" w:hAnsi="Times New Roman"/>
                <w:color w:val="000000"/>
              </w:rPr>
              <w:t>niskoemisyjnych</w:t>
            </w:r>
            <w:r w:rsidRPr="009A3181" w:rsidDel="00AD21C1">
              <w:rPr>
                <w:rFonts w:ascii="Times New Roman" w:hAnsi="Times New Roman"/>
                <w:color w:val="000000"/>
              </w:rPr>
              <w:t xml:space="preserve"> </w:t>
            </w:r>
          </w:p>
        </w:tc>
        <w:tc>
          <w:tcPr>
            <w:tcW w:w="2393" w:type="dxa"/>
            <w:gridSpan w:val="4"/>
            <w:shd w:val="clear" w:color="auto" w:fill="auto"/>
          </w:tcPr>
          <w:p w:rsidR="000D0175" w:rsidRPr="009A3181" w:rsidRDefault="000D0175" w:rsidP="000D0175">
            <w:pPr>
              <w:spacing w:line="240" w:lineRule="auto"/>
              <w:ind w:left="175"/>
              <w:rPr>
                <w:rFonts w:ascii="Times New Roman" w:hAnsi="Times New Roman"/>
                <w:color w:val="000000"/>
                <w:spacing w:val="-2"/>
              </w:rPr>
            </w:pPr>
          </w:p>
          <w:p w:rsidR="000D0175" w:rsidRPr="009A3181" w:rsidRDefault="000D0175" w:rsidP="000D0175">
            <w:pPr>
              <w:spacing w:line="240" w:lineRule="auto"/>
              <w:ind w:left="175"/>
              <w:rPr>
                <w:rFonts w:ascii="Times New Roman" w:hAnsi="Times New Roman"/>
                <w:color w:val="000000"/>
                <w:spacing w:val="-2"/>
              </w:rPr>
            </w:pPr>
          </w:p>
          <w:p w:rsidR="000D0175" w:rsidRPr="009A3181" w:rsidRDefault="000D0175" w:rsidP="000D0175">
            <w:pPr>
              <w:spacing w:line="240" w:lineRule="auto"/>
              <w:ind w:left="175"/>
              <w:rPr>
                <w:rFonts w:ascii="Times New Roman" w:hAnsi="Times New Roman"/>
                <w:color w:val="000000"/>
                <w:spacing w:val="-2"/>
              </w:rPr>
            </w:pPr>
          </w:p>
          <w:p w:rsidR="000D0175" w:rsidRPr="009A3181" w:rsidRDefault="000D0175" w:rsidP="000D0175">
            <w:pPr>
              <w:spacing w:line="240" w:lineRule="auto"/>
              <w:ind w:left="175"/>
              <w:rPr>
                <w:rFonts w:ascii="Times New Roman" w:hAnsi="Times New Roman"/>
                <w:color w:val="000000"/>
                <w:spacing w:val="-2"/>
              </w:rPr>
            </w:pPr>
          </w:p>
          <w:p w:rsidR="000D0175" w:rsidRPr="009A3181" w:rsidRDefault="000D0175" w:rsidP="000D0175">
            <w:pPr>
              <w:spacing w:line="240" w:lineRule="auto"/>
              <w:jc w:val="both"/>
              <w:rPr>
                <w:rFonts w:ascii="Times New Roman" w:hAnsi="Times New Roman"/>
                <w:color w:val="000000"/>
                <w:spacing w:val="-2"/>
              </w:rPr>
            </w:pPr>
            <w:r w:rsidRPr="009A3181">
              <w:rPr>
                <w:rFonts w:ascii="Times New Roman" w:hAnsi="Times New Roman"/>
                <w:color w:val="000000"/>
                <w:spacing w:val="-2"/>
              </w:rPr>
              <w:t xml:space="preserve">Biorąc pod uwagę budżet programu  liczba GDJ - </w:t>
            </w:r>
            <w:r w:rsidRPr="009A3181">
              <w:rPr>
                <w:rFonts w:ascii="Times New Roman" w:hAnsi="Times New Roman"/>
                <w:b/>
                <w:color w:val="000000"/>
                <w:spacing w:val="-2"/>
              </w:rPr>
              <w:t>23 806</w:t>
            </w:r>
            <w:r w:rsidRPr="009A3181">
              <w:rPr>
                <w:rStyle w:val="Odwoanieprzypisudolnego"/>
                <w:rFonts w:ascii="Times New Roman" w:hAnsi="Times New Roman"/>
                <w:b/>
                <w:color w:val="000000"/>
                <w:spacing w:val="-2"/>
              </w:rPr>
              <w:footnoteReference w:id="2"/>
            </w:r>
            <w:r w:rsidRPr="009A3181">
              <w:rPr>
                <w:rFonts w:ascii="Times New Roman" w:hAnsi="Times New Roman"/>
                <w:b/>
                <w:color w:val="000000"/>
                <w:spacing w:val="-2"/>
              </w:rPr>
              <w:t>.</w:t>
            </w:r>
          </w:p>
        </w:tc>
        <w:tc>
          <w:tcPr>
            <w:tcW w:w="3325" w:type="dxa"/>
            <w:gridSpan w:val="5"/>
            <w:shd w:val="clear" w:color="auto" w:fill="auto"/>
          </w:tcPr>
          <w:p w:rsidR="000D0175" w:rsidRPr="009A3181" w:rsidRDefault="000D0175" w:rsidP="000D0175">
            <w:pPr>
              <w:spacing w:line="240" w:lineRule="auto"/>
              <w:ind w:left="175"/>
              <w:rPr>
                <w:rFonts w:ascii="Times New Roman" w:hAnsi="Times New Roman"/>
                <w:color w:val="000000"/>
                <w:spacing w:val="-2"/>
              </w:rPr>
            </w:pPr>
          </w:p>
          <w:p w:rsidR="000D0175" w:rsidRPr="009A3181" w:rsidRDefault="000D0175" w:rsidP="000D0175">
            <w:pPr>
              <w:spacing w:line="240" w:lineRule="auto"/>
              <w:ind w:left="175"/>
              <w:rPr>
                <w:rFonts w:ascii="Times New Roman" w:hAnsi="Times New Roman"/>
                <w:color w:val="000000"/>
                <w:spacing w:val="-2"/>
              </w:rPr>
            </w:pPr>
          </w:p>
          <w:p w:rsidR="000D0175" w:rsidRPr="009A3181" w:rsidRDefault="000D0175" w:rsidP="000D0175">
            <w:pPr>
              <w:spacing w:line="240" w:lineRule="auto"/>
              <w:ind w:left="175"/>
              <w:rPr>
                <w:rFonts w:ascii="Times New Roman" w:hAnsi="Times New Roman"/>
                <w:color w:val="000000"/>
                <w:spacing w:val="-2"/>
              </w:rPr>
            </w:pPr>
          </w:p>
          <w:p w:rsidR="000D0175" w:rsidRPr="009A3181" w:rsidRDefault="000D0175" w:rsidP="000D0175">
            <w:pPr>
              <w:spacing w:line="240" w:lineRule="auto"/>
              <w:ind w:left="175"/>
              <w:jc w:val="both"/>
              <w:rPr>
                <w:rFonts w:ascii="Times New Roman" w:hAnsi="Times New Roman"/>
                <w:color w:val="000000"/>
                <w:spacing w:val="-2"/>
              </w:rPr>
            </w:pPr>
          </w:p>
          <w:p w:rsidR="000D0175" w:rsidRPr="009A3181" w:rsidRDefault="000D0175" w:rsidP="000D0175">
            <w:pPr>
              <w:spacing w:line="240" w:lineRule="auto"/>
              <w:ind w:left="175"/>
              <w:jc w:val="both"/>
              <w:rPr>
                <w:rFonts w:ascii="Times New Roman" w:hAnsi="Times New Roman"/>
                <w:color w:val="000000"/>
                <w:spacing w:val="-2"/>
              </w:rPr>
            </w:pPr>
            <w:r w:rsidRPr="009A3181">
              <w:rPr>
                <w:rFonts w:ascii="Times New Roman" w:hAnsi="Times New Roman"/>
                <w:color w:val="000000"/>
                <w:spacing w:val="-2"/>
              </w:rPr>
              <w:t xml:space="preserve">IBS Research Report 02/2018 Kwiecień 2018 „Zjawisko ubóstwa energetycznego w Polsce ze szczególnym uwzględnieniem zamieszkujących w domach jednorodzinnych” </w:t>
            </w:r>
          </w:p>
          <w:p w:rsidR="000D0175" w:rsidRPr="009A3181" w:rsidRDefault="000D0175" w:rsidP="000D0175">
            <w:pPr>
              <w:spacing w:line="240" w:lineRule="auto"/>
              <w:jc w:val="both"/>
              <w:rPr>
                <w:rFonts w:ascii="Times New Roman" w:hAnsi="Times New Roman"/>
                <w:color w:val="000000"/>
                <w:spacing w:val="-2"/>
              </w:rPr>
            </w:pPr>
          </w:p>
        </w:tc>
        <w:tc>
          <w:tcPr>
            <w:tcW w:w="2898" w:type="dxa"/>
            <w:gridSpan w:val="4"/>
            <w:shd w:val="clear" w:color="auto" w:fill="auto"/>
          </w:tcPr>
          <w:p w:rsidR="000D0175" w:rsidRPr="009A3181" w:rsidRDefault="000D0175" w:rsidP="000D0175">
            <w:pPr>
              <w:spacing w:line="240" w:lineRule="auto"/>
              <w:rPr>
                <w:rFonts w:ascii="Times New Roman" w:hAnsi="Times New Roman"/>
                <w:color w:val="000000"/>
              </w:rPr>
            </w:pPr>
          </w:p>
          <w:p w:rsidR="000D0175" w:rsidRPr="009A3181" w:rsidRDefault="000D0175" w:rsidP="000D0175">
            <w:pPr>
              <w:spacing w:line="240" w:lineRule="auto"/>
              <w:rPr>
                <w:rFonts w:ascii="Times New Roman" w:hAnsi="Times New Roman"/>
                <w:color w:val="000000"/>
              </w:rPr>
            </w:pPr>
          </w:p>
          <w:p w:rsidR="000D0175" w:rsidRPr="009A3181" w:rsidRDefault="000D0175" w:rsidP="000D0175">
            <w:pPr>
              <w:spacing w:line="240" w:lineRule="auto"/>
              <w:rPr>
                <w:rFonts w:ascii="Times New Roman" w:hAnsi="Times New Roman"/>
                <w:color w:val="000000"/>
              </w:rPr>
            </w:pPr>
          </w:p>
          <w:p w:rsidR="000D0175" w:rsidRPr="009A3181" w:rsidRDefault="000D0175" w:rsidP="000D0175">
            <w:pPr>
              <w:spacing w:line="240" w:lineRule="auto"/>
              <w:rPr>
                <w:rFonts w:ascii="Times New Roman" w:hAnsi="Times New Roman"/>
                <w:color w:val="000000"/>
              </w:rPr>
            </w:pPr>
          </w:p>
          <w:p w:rsidR="000D0175" w:rsidRPr="009A3181" w:rsidRDefault="000D0175" w:rsidP="000D0175">
            <w:pPr>
              <w:spacing w:line="240" w:lineRule="auto"/>
              <w:jc w:val="both"/>
              <w:rPr>
                <w:rFonts w:ascii="Times New Roman" w:hAnsi="Times New Roman"/>
                <w:color w:val="000000"/>
                <w:spacing w:val="-2"/>
              </w:rPr>
            </w:pPr>
            <w:r w:rsidRPr="009A3181">
              <w:rPr>
                <w:rFonts w:ascii="Times New Roman" w:hAnsi="Times New Roman"/>
                <w:color w:val="000000"/>
              </w:rPr>
              <w:t xml:space="preserve">Osoby (bezpośredni beneficjenci) te uzyskają od rządu i samorządu gminnego pomoc materialną w postaci przeprowadzenia przez gminę przedsięwzięcia niskoemisyjnego, którego efektem będzie poprawa efektywności energetycznej zamieszkiwanego </w:t>
            </w:r>
            <w:r w:rsidRPr="009A3181">
              <w:rPr>
                <w:rFonts w:ascii="Times New Roman" w:hAnsi="Times New Roman"/>
                <w:color w:val="000000"/>
              </w:rPr>
              <w:lastRenderedPageBreak/>
              <w:t>budynku jednorodzinnego oraz likwidacja źródeł ogrzewania (piece, kotły), które emitują zanieczyszczenia powietrza zarówno w samym budynku jak i jego otoczeniu</w:t>
            </w:r>
          </w:p>
        </w:tc>
      </w:tr>
      <w:tr w:rsidR="000D0175" w:rsidRPr="008B4FE6" w:rsidTr="00481F21">
        <w:trPr>
          <w:gridAfter w:val="1"/>
          <w:wAfter w:w="9" w:type="dxa"/>
          <w:trHeight w:val="142"/>
        </w:trPr>
        <w:tc>
          <w:tcPr>
            <w:tcW w:w="2322" w:type="dxa"/>
            <w:gridSpan w:val="3"/>
            <w:shd w:val="clear" w:color="auto" w:fill="auto"/>
          </w:tcPr>
          <w:p w:rsidR="000D0175" w:rsidRPr="009A3181" w:rsidRDefault="000D0175" w:rsidP="000D0175">
            <w:pPr>
              <w:spacing w:line="240" w:lineRule="auto"/>
              <w:jc w:val="both"/>
              <w:rPr>
                <w:rFonts w:ascii="Times New Roman" w:hAnsi="Times New Roman"/>
                <w:color w:val="000000"/>
                <w:spacing w:val="-2"/>
              </w:rPr>
            </w:pPr>
            <w:r w:rsidRPr="009A3181">
              <w:rPr>
                <w:rFonts w:ascii="Times New Roman" w:hAnsi="Times New Roman"/>
                <w:color w:val="000000"/>
              </w:rPr>
              <w:lastRenderedPageBreak/>
              <w:t>Gminy, w których szczególnie odczuwalne jest zjawisko i koszty zewn. smogu</w:t>
            </w:r>
          </w:p>
        </w:tc>
        <w:tc>
          <w:tcPr>
            <w:tcW w:w="2393" w:type="dxa"/>
            <w:gridSpan w:val="4"/>
            <w:shd w:val="clear" w:color="auto" w:fill="auto"/>
          </w:tcPr>
          <w:p w:rsidR="000D0175" w:rsidRPr="009A3181" w:rsidRDefault="000D0175" w:rsidP="000D0175">
            <w:pPr>
              <w:spacing w:line="240" w:lineRule="auto"/>
              <w:jc w:val="both"/>
              <w:rPr>
                <w:rFonts w:ascii="Times New Roman" w:hAnsi="Times New Roman"/>
                <w:color w:val="000000"/>
                <w:spacing w:val="-2"/>
              </w:rPr>
            </w:pPr>
            <w:r w:rsidRPr="009A3181">
              <w:rPr>
                <w:rFonts w:ascii="Times New Roman" w:hAnsi="Times New Roman"/>
                <w:color w:val="000000"/>
                <w:spacing w:val="-2"/>
              </w:rPr>
              <w:t xml:space="preserve">Biorąc pod uwagę dotychczasową średnią liczbę budynków zgłaszanych przez 1 gminę (180) należy szacować, że w ramach Programu można byłoby podpisać ok. 122-127 porozumień z gminami. </w:t>
            </w:r>
          </w:p>
        </w:tc>
        <w:tc>
          <w:tcPr>
            <w:tcW w:w="3325" w:type="dxa"/>
            <w:gridSpan w:val="5"/>
            <w:shd w:val="clear" w:color="auto" w:fill="auto"/>
          </w:tcPr>
          <w:p w:rsidR="000D0175" w:rsidRPr="009A3181" w:rsidRDefault="000D0175" w:rsidP="000D0175">
            <w:pPr>
              <w:spacing w:line="240" w:lineRule="auto"/>
              <w:jc w:val="both"/>
              <w:rPr>
                <w:rFonts w:ascii="Times New Roman" w:hAnsi="Times New Roman"/>
                <w:color w:val="000000"/>
                <w:spacing w:val="-2"/>
                <w:sz w:val="21"/>
                <w:szCs w:val="21"/>
              </w:rPr>
            </w:pPr>
            <w:r w:rsidRPr="009A3181">
              <w:rPr>
                <w:rFonts w:ascii="Times New Roman" w:hAnsi="Times New Roman"/>
                <w:color w:val="000000"/>
                <w:spacing w:val="-2"/>
              </w:rPr>
              <w:t xml:space="preserve">Dane z dotychczasowej realizacji programu. </w:t>
            </w:r>
          </w:p>
        </w:tc>
        <w:tc>
          <w:tcPr>
            <w:tcW w:w="2898" w:type="dxa"/>
            <w:gridSpan w:val="4"/>
            <w:shd w:val="clear" w:color="auto" w:fill="auto"/>
          </w:tcPr>
          <w:p w:rsidR="000D0175" w:rsidRPr="00C12D73" w:rsidRDefault="000D0175" w:rsidP="000D0175">
            <w:pPr>
              <w:spacing w:line="240" w:lineRule="auto"/>
              <w:jc w:val="both"/>
              <w:rPr>
                <w:rFonts w:ascii="Times New Roman" w:hAnsi="Times New Roman"/>
                <w:color w:val="000000"/>
                <w:spacing w:val="-2"/>
                <w:sz w:val="21"/>
                <w:szCs w:val="21"/>
              </w:rPr>
            </w:pPr>
            <w:r>
              <w:rPr>
                <w:rFonts w:ascii="Times New Roman" w:hAnsi="Times New Roman"/>
                <w:color w:val="000000"/>
                <w:spacing w:val="-2"/>
              </w:rPr>
              <w:t xml:space="preserve">Realizacja przedsięwzięć niskoemisyjnych. </w:t>
            </w:r>
            <w:r w:rsidRPr="00C12D73">
              <w:rPr>
                <w:rFonts w:ascii="Times New Roman" w:hAnsi="Times New Roman"/>
                <w:color w:val="000000"/>
                <w:spacing w:val="-2"/>
                <w:sz w:val="21"/>
                <w:szCs w:val="21"/>
              </w:rPr>
              <w:t xml:space="preserve"> </w:t>
            </w:r>
          </w:p>
        </w:tc>
      </w:tr>
      <w:tr w:rsidR="000D0175" w:rsidRPr="008B4FE6" w:rsidTr="00481F21">
        <w:trPr>
          <w:gridAfter w:val="1"/>
          <w:wAfter w:w="9" w:type="dxa"/>
          <w:trHeight w:val="302"/>
        </w:trPr>
        <w:tc>
          <w:tcPr>
            <w:tcW w:w="10938" w:type="dxa"/>
            <w:gridSpan w:val="16"/>
            <w:shd w:val="clear" w:color="auto" w:fill="99CCFF"/>
            <w:vAlign w:val="center"/>
          </w:tcPr>
          <w:p w:rsidR="000D0175" w:rsidRPr="008B4FE6" w:rsidRDefault="000D0175" w:rsidP="000D0175">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0D0175" w:rsidRPr="008B4FE6" w:rsidTr="00481F21">
        <w:trPr>
          <w:gridAfter w:val="1"/>
          <w:wAfter w:w="9" w:type="dxa"/>
          <w:trHeight w:val="342"/>
        </w:trPr>
        <w:tc>
          <w:tcPr>
            <w:tcW w:w="10938" w:type="dxa"/>
            <w:gridSpan w:val="16"/>
            <w:shd w:val="clear" w:color="auto" w:fill="FFFFFF"/>
          </w:tcPr>
          <w:p w:rsidR="000D0175" w:rsidRPr="004C1F3A" w:rsidRDefault="000D0175" w:rsidP="000D0175">
            <w:pPr>
              <w:spacing w:line="240" w:lineRule="auto"/>
              <w:jc w:val="both"/>
              <w:rPr>
                <w:rFonts w:ascii="Times New Roman" w:hAnsi="Times New Roman"/>
                <w:color w:val="000000"/>
                <w:spacing w:val="-2"/>
              </w:rPr>
            </w:pPr>
            <w:r w:rsidRPr="00481F21">
              <w:rPr>
                <w:rFonts w:ascii="Times New Roman" w:hAnsi="Times New Roman"/>
                <w:bCs/>
              </w:rPr>
              <w:t>W zakresie uruchomienia systemu informatycznego, służącego m.in. do obsługi CEEB</w:t>
            </w:r>
            <w:r>
              <w:rPr>
                <w:rFonts w:ascii="Times New Roman" w:hAnsi="Times New Roman"/>
                <w:b/>
              </w:rPr>
              <w:t xml:space="preserve"> </w:t>
            </w:r>
            <w:r>
              <w:rPr>
                <w:rFonts w:ascii="Times New Roman" w:hAnsi="Times New Roman"/>
                <w:color w:val="000000"/>
                <w:spacing w:val="-2"/>
              </w:rPr>
              <w:t>p</w:t>
            </w:r>
            <w:r w:rsidRPr="004C1F3A">
              <w:rPr>
                <w:rFonts w:ascii="Times New Roman" w:hAnsi="Times New Roman"/>
                <w:color w:val="000000"/>
                <w:spacing w:val="-2"/>
              </w:rPr>
              <w:t xml:space="preserve">rzed opracowaniem </w:t>
            </w:r>
            <w:r>
              <w:rPr>
                <w:rFonts w:ascii="Times New Roman" w:hAnsi="Times New Roman"/>
                <w:color w:val="000000"/>
                <w:spacing w:val="-2"/>
              </w:rPr>
              <w:t>p</w:t>
            </w:r>
            <w:r w:rsidRPr="004C1F3A">
              <w:rPr>
                <w:rFonts w:ascii="Times New Roman" w:hAnsi="Times New Roman"/>
                <w:color w:val="000000"/>
                <w:spacing w:val="-2"/>
              </w:rPr>
              <w:t xml:space="preserve">rojektu Ministerstwo </w:t>
            </w:r>
            <w:r>
              <w:rPr>
                <w:rFonts w:ascii="Times New Roman" w:hAnsi="Times New Roman"/>
                <w:color w:val="000000"/>
                <w:spacing w:val="-2"/>
              </w:rPr>
              <w:t xml:space="preserve">Rozwoju (poprzednio </w:t>
            </w:r>
            <w:r w:rsidRPr="004C1F3A">
              <w:rPr>
                <w:rFonts w:ascii="Times New Roman" w:hAnsi="Times New Roman"/>
                <w:color w:val="000000"/>
                <w:spacing w:val="-2"/>
              </w:rPr>
              <w:t>Przedsiębiorczości i Technologii</w:t>
            </w:r>
            <w:r>
              <w:rPr>
                <w:rFonts w:ascii="Times New Roman" w:hAnsi="Times New Roman"/>
                <w:color w:val="000000"/>
                <w:spacing w:val="-2"/>
              </w:rPr>
              <w:t>)</w:t>
            </w:r>
            <w:r w:rsidRPr="004C1F3A">
              <w:rPr>
                <w:rFonts w:ascii="Times New Roman" w:hAnsi="Times New Roman"/>
                <w:color w:val="000000"/>
                <w:spacing w:val="-2"/>
              </w:rPr>
              <w:t xml:space="preserve"> dokonało roboczych prekonsultacji i zorganizowało spotkania z grupami interesariuszy w ramach warsztatów legislacyjnych (m</w:t>
            </w:r>
            <w:r>
              <w:rPr>
                <w:rFonts w:ascii="Times New Roman" w:hAnsi="Times New Roman"/>
                <w:color w:val="000000"/>
                <w:spacing w:val="-2"/>
              </w:rPr>
              <w:t>arzec – wrzesień</w:t>
            </w:r>
            <w:r w:rsidRPr="004C1F3A">
              <w:rPr>
                <w:rFonts w:ascii="Times New Roman" w:hAnsi="Times New Roman"/>
                <w:color w:val="000000"/>
                <w:spacing w:val="-2"/>
              </w:rPr>
              <w:t xml:space="preserve"> 2019 r.), a opracowany projekt jest wynikiem powyższych roboczych prekonsultacji. Dodatkowo przy opracowaniu Projektu zostały wzięte pod uwagę stanowiska uczestników podjętych rozmów. Projekt zawiera rozwiązania wypracowane w ramach prac grup roboczych. Prekonsultacje odbyły się przy udziale następujących podmiotów:</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 xml:space="preserve">Ministerstwa Inwestycji i Rozwoju – Departament Mieszkalnictwa oraz Departament Architektury, Budownictwa i Geodezji;    </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Ministerstwa Środowiska – Departament Ochrony Powietrza i Zmian Klimatycznych;</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 xml:space="preserve">Ministerstwa Rodziny, Pracy i Polityki Społecznej </w:t>
            </w:r>
            <w:r>
              <w:rPr>
                <w:rFonts w:ascii="Times New Roman" w:hAnsi="Times New Roman"/>
                <w:color w:val="000000"/>
                <w:spacing w:val="-2"/>
              </w:rPr>
              <w:t>–</w:t>
            </w:r>
            <w:r w:rsidRPr="009A3181">
              <w:rPr>
                <w:rFonts w:ascii="Times New Roman" w:hAnsi="Times New Roman"/>
                <w:color w:val="000000"/>
                <w:spacing w:val="-2"/>
              </w:rPr>
              <w:t xml:space="preserve"> </w:t>
            </w:r>
            <w:r>
              <w:rPr>
                <w:rFonts w:ascii="Times New Roman" w:hAnsi="Times New Roman"/>
                <w:color w:val="000000"/>
                <w:spacing w:val="-2"/>
              </w:rPr>
              <w:t>Departament Pomocy i Integracji Społecznej;</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Głównego Inspektoratu Ochrony Środowiska;</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lastRenderedPageBreak/>
              <w:t>Wojewódzkiego Inspektoratu Ochrony Środowiska w Warszawie;</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Wojewódzkiego Inspektoratu Ochrony Środowiska w Krakowie;</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Narodowego Funduszu Ochrony Środowiska i Gospodarki Wodnej;</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Wojewódzkiego Funduszu Ochrony Środowiska i Gospodarki Wodnej w Szczecinie i Opolu;</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Głównego Urzędu Nadzoru Budowlanego;</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Wojewódzkiego Inspektoratu Nadzoru Budowalnego w Warszawie;</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Związku Powiatów Polskich;</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Urzędu Marszałkowskiego Województwa Małopolskiego;</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Urzędu Marszałkowskiego Województwa Śląskiego;</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Urzędu Marszałkowskiego Województwa Mazowieckiego;</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Urzędu Marszałkowskiego Województwa Dolnośląskiego (reprezentowany przez Instytut Rozwoju Terytorialnego);</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Urzędu Miasta i Gminy (w tym Straże Miejskie): Gliwice, Warszawa, Kraków, Zabrze, Mińsk Mazowiecki, Katowice, Opoczno, Mszana Dolna, Nowy Targ, Skała, Karczew, Ustroń, Skawina;</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Instytutu Łączności – Państwowy Instytut Badawczy;</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Instytutu Ochrony Środowiska – Państwowy Instytut Badawczy;</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Stowarzyszenia Krakowski Alarm Smogowy;</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Instytutu Chemicznej Przeróbki Węgla;</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Korporacji Kominiarzy Polskich;</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Ogólnopolskiej Komisji Branżowej Kominiarzy przy Związku Rzemiosła Polskiego;</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Korporacji Mistrzów Kominiarskich woj. Śląskiego;</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Beskidzkiego Cechu Kominiarzy;</w:t>
            </w:r>
          </w:p>
          <w:p w:rsidR="000D0175" w:rsidRPr="009A3181" w:rsidRDefault="000D0175" w:rsidP="000D0175">
            <w:pPr>
              <w:pStyle w:val="Akapitzlist"/>
              <w:numPr>
                <w:ilvl w:val="1"/>
                <w:numId w:val="3"/>
              </w:numPr>
              <w:spacing w:line="240" w:lineRule="auto"/>
              <w:ind w:left="318"/>
              <w:jc w:val="both"/>
              <w:rPr>
                <w:rFonts w:ascii="Times New Roman" w:hAnsi="Times New Roman"/>
                <w:color w:val="000000"/>
                <w:spacing w:val="-2"/>
              </w:rPr>
            </w:pPr>
            <w:r w:rsidRPr="009A3181">
              <w:rPr>
                <w:rFonts w:ascii="Times New Roman" w:hAnsi="Times New Roman"/>
                <w:color w:val="000000"/>
                <w:spacing w:val="-2"/>
              </w:rPr>
              <w:t>Krajowej Izby Kominiarzy.</w:t>
            </w:r>
          </w:p>
          <w:p w:rsidR="000D0175" w:rsidRPr="004C1F3A" w:rsidRDefault="000D0175" w:rsidP="000D0175">
            <w:pPr>
              <w:spacing w:line="240" w:lineRule="auto"/>
              <w:jc w:val="both"/>
              <w:rPr>
                <w:rFonts w:ascii="Times New Roman" w:hAnsi="Times New Roman"/>
                <w:color w:val="000000"/>
                <w:spacing w:val="-2"/>
              </w:rPr>
            </w:pPr>
          </w:p>
          <w:p w:rsidR="000D0175"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t>W zakresie Programu Stop Smog zakres zmian podlegał ciągłym konsultacjom w ramach spotkań grupowych i indywidulanych z gminami. Głównym forum rozmowy z gminami z listy WHO były warsztaty z ich przedstawicielami, które odbyły się w dniu 1 października 2019 r.</w:t>
            </w:r>
          </w:p>
          <w:p w:rsidR="000D0175" w:rsidRDefault="000D0175" w:rsidP="000D0175">
            <w:pPr>
              <w:spacing w:line="240" w:lineRule="auto"/>
              <w:jc w:val="both"/>
              <w:rPr>
                <w:rFonts w:ascii="Times New Roman" w:hAnsi="Times New Roman"/>
                <w:color w:val="000000"/>
                <w:spacing w:val="-2"/>
              </w:rPr>
            </w:pPr>
            <w:r w:rsidRPr="004C1F3A">
              <w:rPr>
                <w:rFonts w:ascii="Times New Roman" w:hAnsi="Times New Roman"/>
                <w:color w:val="000000"/>
                <w:spacing w:val="-2"/>
              </w:rPr>
              <w:t xml:space="preserve">Po analizie zakresu projektu uznano, że nie dotyczy on kwestii objętych art. 19 ustawy </w:t>
            </w:r>
            <w:r>
              <w:rPr>
                <w:rFonts w:ascii="Times New Roman" w:hAnsi="Times New Roman"/>
                <w:color w:val="000000"/>
                <w:spacing w:val="-2"/>
              </w:rPr>
              <w:t xml:space="preserve">z dnia 23 maja 1991 r. </w:t>
            </w:r>
            <w:r w:rsidRPr="004C1F3A">
              <w:rPr>
                <w:rFonts w:ascii="Times New Roman" w:hAnsi="Times New Roman"/>
                <w:color w:val="000000"/>
                <w:spacing w:val="-2"/>
              </w:rPr>
              <w:t xml:space="preserve">o związkach zawodowych (Dz. U. z 2019 r. poz. 263) oraz art. 16 ustawy </w:t>
            </w:r>
            <w:r>
              <w:rPr>
                <w:rFonts w:ascii="Times New Roman" w:hAnsi="Times New Roman"/>
                <w:color w:val="000000"/>
                <w:spacing w:val="-2"/>
              </w:rPr>
              <w:t xml:space="preserve">z dnia 23 maja 1991 r. </w:t>
            </w:r>
            <w:r w:rsidRPr="004C1F3A">
              <w:rPr>
                <w:rFonts w:ascii="Times New Roman" w:hAnsi="Times New Roman"/>
                <w:color w:val="000000"/>
                <w:spacing w:val="-2"/>
              </w:rPr>
              <w:t>o organizacjach pracodawców</w:t>
            </w:r>
            <w:r>
              <w:rPr>
                <w:rFonts w:ascii="Times New Roman" w:hAnsi="Times New Roman"/>
                <w:color w:val="000000"/>
                <w:spacing w:val="-2"/>
              </w:rPr>
              <w:t xml:space="preserve"> (Dz. U. z 2019 r. poz. 1809)</w:t>
            </w:r>
            <w:r w:rsidRPr="004C1F3A">
              <w:rPr>
                <w:rFonts w:ascii="Times New Roman" w:hAnsi="Times New Roman"/>
                <w:color w:val="000000"/>
                <w:spacing w:val="-2"/>
              </w:rPr>
              <w:t xml:space="preserve">, w związku z powyższym rezygnuje się z przekazania projektu do zaopiniowania podmiotom reprezentatywnym w rozumieniu ustawy </w:t>
            </w:r>
            <w:r>
              <w:rPr>
                <w:rFonts w:ascii="Times New Roman" w:hAnsi="Times New Roman"/>
                <w:color w:val="000000"/>
                <w:spacing w:val="-2"/>
              </w:rPr>
              <w:t xml:space="preserve">z dnia 24 lipca 2015 r. </w:t>
            </w:r>
            <w:r w:rsidRPr="004C1F3A">
              <w:rPr>
                <w:rFonts w:ascii="Times New Roman" w:hAnsi="Times New Roman"/>
                <w:color w:val="000000"/>
                <w:spacing w:val="-2"/>
              </w:rPr>
              <w:t>o Radzie Dialogu Społecznego i innych instytucjach dialogu społecznego (Dz. U. z 2018 r. poz. 2232).</w:t>
            </w:r>
          </w:p>
          <w:p w:rsidR="000D0175" w:rsidRDefault="000D0175" w:rsidP="000D0175">
            <w:pPr>
              <w:spacing w:line="240" w:lineRule="auto"/>
              <w:jc w:val="both"/>
              <w:rPr>
                <w:rFonts w:ascii="Times New Roman" w:hAnsi="Times New Roman"/>
                <w:color w:val="000000"/>
                <w:spacing w:val="-2"/>
              </w:rPr>
            </w:pPr>
            <w:r w:rsidRPr="002D6501">
              <w:rPr>
                <w:rFonts w:ascii="Times New Roman" w:hAnsi="Times New Roman"/>
                <w:color w:val="000000"/>
                <w:spacing w:val="-2"/>
              </w:rPr>
              <w:t>Projekt ustawy został także przekazany do opiniowania przez Komisję Wspólną Rządu i Samorządu Terytorialnego zgodnie z ustawą z dnia 6 maja 2005 r. o Komisji Wspólnej Rządu i Samorządu Terytorialnego oraz o przedstawicielach Rzeczypospolitej Polskiej w Komitecie Regionów Unii Europejskiej (Dz. U. poz. 759).</w:t>
            </w:r>
          </w:p>
          <w:p w:rsidR="000D0175" w:rsidRDefault="000D0175" w:rsidP="000D0175">
            <w:pPr>
              <w:spacing w:line="240" w:lineRule="auto"/>
              <w:jc w:val="both"/>
              <w:rPr>
                <w:rFonts w:ascii="Times New Roman" w:hAnsi="Times New Roman"/>
                <w:color w:val="000000"/>
                <w:spacing w:val="-2"/>
              </w:rPr>
            </w:pPr>
          </w:p>
          <w:p w:rsidR="000D0175" w:rsidRDefault="000D0175" w:rsidP="000D0175">
            <w:pPr>
              <w:spacing w:line="240" w:lineRule="auto"/>
              <w:jc w:val="both"/>
              <w:rPr>
                <w:rFonts w:ascii="Times New Roman" w:hAnsi="Times New Roman"/>
                <w:color w:val="000000"/>
                <w:spacing w:val="-2"/>
              </w:rPr>
            </w:pPr>
            <w:r w:rsidRPr="005E3C1E">
              <w:rPr>
                <w:rFonts w:ascii="Times New Roman" w:hAnsi="Times New Roman"/>
                <w:color w:val="000000"/>
                <w:spacing w:val="-2"/>
              </w:rPr>
              <w:t>Projekt zos</w:t>
            </w:r>
            <w:r>
              <w:rPr>
                <w:rFonts w:ascii="Times New Roman" w:hAnsi="Times New Roman"/>
                <w:color w:val="000000"/>
                <w:spacing w:val="-2"/>
              </w:rPr>
              <w:t>tał</w:t>
            </w:r>
            <w:r w:rsidRPr="005E3C1E">
              <w:rPr>
                <w:rFonts w:ascii="Times New Roman" w:hAnsi="Times New Roman"/>
                <w:color w:val="000000"/>
                <w:spacing w:val="-2"/>
              </w:rPr>
              <w:t xml:space="preserve"> także zamieszczony na stronie podmiotowej Biuletynu Informacji Publicznej Ministra </w:t>
            </w:r>
            <w:r>
              <w:rPr>
                <w:rFonts w:ascii="Times New Roman" w:hAnsi="Times New Roman"/>
                <w:color w:val="000000"/>
                <w:spacing w:val="-2"/>
              </w:rPr>
              <w:t>Rozwoju</w:t>
            </w:r>
            <w:r w:rsidRPr="005E3C1E">
              <w:rPr>
                <w:rFonts w:ascii="Times New Roman" w:hAnsi="Times New Roman"/>
                <w:color w:val="000000"/>
                <w:spacing w:val="-2"/>
              </w:rPr>
              <w:t xml:space="preserve"> oraz Rządowego Centrum Legislacji. Projekt ustawy podlegał konsultacjom publicznym zgodnie z Regulaminem pracy Rady Ministrów. Projekt </w:t>
            </w:r>
            <w:r>
              <w:rPr>
                <w:rFonts w:ascii="Times New Roman" w:hAnsi="Times New Roman"/>
                <w:color w:val="000000"/>
                <w:spacing w:val="-2"/>
              </w:rPr>
              <w:t>został</w:t>
            </w:r>
            <w:r w:rsidRPr="005E3C1E">
              <w:rPr>
                <w:rFonts w:ascii="Times New Roman" w:hAnsi="Times New Roman"/>
                <w:color w:val="000000"/>
                <w:spacing w:val="-2"/>
              </w:rPr>
              <w:t xml:space="preserve"> wysyłany w</w:t>
            </w:r>
            <w:r>
              <w:rPr>
                <w:rFonts w:ascii="Times New Roman" w:hAnsi="Times New Roman"/>
                <w:color w:val="000000"/>
                <w:spacing w:val="-2"/>
              </w:rPr>
              <w:t xml:space="preserve"> ramach konsultacji publicznych </w:t>
            </w:r>
            <w:r w:rsidRPr="005E3C1E">
              <w:rPr>
                <w:rFonts w:ascii="Times New Roman" w:hAnsi="Times New Roman"/>
                <w:color w:val="000000"/>
                <w:spacing w:val="-2"/>
              </w:rPr>
              <w:t>do</w:t>
            </w:r>
            <w:r>
              <w:rPr>
                <w:rFonts w:ascii="Times New Roman" w:hAnsi="Times New Roman"/>
                <w:color w:val="000000"/>
                <w:spacing w:val="-2"/>
              </w:rPr>
              <w:t xml:space="preserve"> następujących podmiotów</w:t>
            </w:r>
            <w:r w:rsidRPr="005E3C1E">
              <w:rPr>
                <w:rFonts w:ascii="Times New Roman" w:hAnsi="Times New Roman"/>
                <w:color w:val="000000"/>
                <w:spacing w:val="-2"/>
              </w:rPr>
              <w:t>:</w:t>
            </w:r>
            <w:r>
              <w:rPr>
                <w:rFonts w:ascii="Times New Roman" w:hAnsi="Times New Roman"/>
                <w:color w:val="000000"/>
                <w:spacing w:val="-2"/>
              </w:rPr>
              <w:t xml:space="preserve"> </w:t>
            </w:r>
            <w:r w:rsidRPr="005E3C1E">
              <w:rPr>
                <w:rFonts w:ascii="Times New Roman" w:hAnsi="Times New Roman"/>
                <w:color w:val="000000"/>
                <w:spacing w:val="-2"/>
              </w:rPr>
              <w:t xml:space="preserve"> </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Bank Gospodarstwa Kra</w:t>
            </w:r>
            <w:r>
              <w:rPr>
                <w:rFonts w:ascii="Times New Roman" w:hAnsi="Times New Roman"/>
              </w:rPr>
              <w:t>jowego  (sekretariatDFM@bgk.pl</w:t>
            </w:r>
            <w:r w:rsidRPr="00E86E60">
              <w:rPr>
                <w:rFonts w:ascii="Times New Roman" w:hAnsi="Times New Roman"/>
              </w:rPr>
              <w:t>, sekretariatWK1@bgk.pl)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Związek Banków Polskich  (pb@zbp.pl)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lastRenderedPageBreak/>
              <w:t>Unia Metropolii Polskich  (biuro@metropolie.pl)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Związek Miast Polskich  (biuro@zmp.poznan.pl)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Związek Powiatów Polskich  (biuro@zpp.pl)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Unia Miasteczek Polskich  (biuro.ump@podkowalesna.pl)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Instytut Rozwoju Miast i Regionów (sekretariat@irmir.pl)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Związek Województw Rzeczypospolitej Polskiej  (biuro@zwrp.pl)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Związek Gmin Wiejskich Rzeczypospolitej Polskiej  (biuro@zgwrp.pl)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Instytut Techniki Budowlanej (instytut@itb.pl)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Polska Izba Inżynierów Budownictwa  (biuro@piib.org.pl)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Izba Architektów Rzeczypospolitej Polskiej  (izba@izbaarchitektow.pl)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Stowarzyszenie Instytut Ekonomii Środowiska (biuro@iee.org.pl)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Fundacja Instytut na rzecz Ekorozwoju (ine@ine-isd.org.pl)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Fundacja Instytut Sobieskiego  (sobieski@sobieski.org.pl)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Instytut Ochrony Środowiska – Państwowy Instytut Badawczy (sekretariat@ios.edu.pl)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Instytut Łączności – Państwowy Instytut Badawczy (info@il-pib.pl)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Instytut Chemicznej Przeróbki Węgla (office@ichpw.pl)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Krajowa Agencja Poszanowania Energii S.A. (kape@kape.gov.pl)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Narodowa Agencja Poszanowania Energii S.A. (nape@nape.pl)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Rada Główna Instytutów Badawczych  (rgib@ibdim.edu.pl)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Polskie Stowarzyszenie Budownictwa Ekologicznego  (biuro@plgbc.org.pl)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Stowarzyszenie Certyfikatorów i Audytorów Energetycznych (biuro@certyfikatorzy.org.pl)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Związek Pracodawców-Producentów Materiałów Dla Budownictwa (info@dlabudownictwa.pl)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Polskie Stowarzyszenie Producentów Styropianu (biuro@producencistyropianu.pl)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MIWO Stowarzyszenie Producentów Wełny Mineralnej: Szklanej i Skalnej (biuro@miwo.pl)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Polskie Okna i Drzwi, Związek Producentów, Dostawców i Dystrybutorów (biuro@okna.org.pl)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Stowarzyszenie Nowoczesne Budynki (biuro@snb.org.pl)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Federacja Porozumienie Polskiego Rynku Nieruchomości  (biuro1@pprn.pl)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Konfederacja Budownictwa i Nieruchomości  (kbin@kbin.org.pl)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Polska Federacja Organizacji Zarządców, Administratorów i Właścicieli Nieruchomości  (biuro@pfozaiwn.org)</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Polska Federacja Rynku Nieruchomości  (federacja@pfrn.pl)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Polski Związek Firm Deweloperskich (biuro@pzfd.pl)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Polski Związek Inżynierów i Techników Budownictwa (biuro@zgpzitb.org.pl)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Izba Projektowania Budowlanego  (ipb@ipb.org.pl)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Związek Zawodowy Budowlani (sekretariat@zzbudowlani.pl)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lastRenderedPageBreak/>
              <w:t>Polski Związek Pracodawców Budownictwa  (sekretariat@pzpb.com.pl)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Korporacja Kominiarzy Polskich  (zgkkp.opole@op.pl)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Ogólnopolska Komisja Branżowa Kominiarzy przy Związku Rzemiosła Polskiego (zrp@zrp.pl)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Korporacja Mistrzów Kominiarskich woj. Śląskiego (biuro@kominiarze-slask.pl)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Beskidzki Cech Kominiarzy (biuro@waszek.pl)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 xml:space="preserve">Krajowa Izba Kominiarzy (biuro@izbakominiarzy.pl) </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Związek Rzemiosła Polskiego  (zrp@zrp.pl)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Naczelna Organizacja Techniczna (sekretariat@not.org.pl)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Izba Energetyki Przemysłowej i Odbiorców Energii  (iep@iep.org.pl)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Izba Gospodarcza Energetyki i Ochrony Środowiska  (sekretariat@igeos.pl)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Izba Gospodarcza Gazownictwa  (office@igg.pl)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Krajowa Izba Biopaliw  (info@kib.pl)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Polska Geotermalna Asocjacja im. prof. Juliana Sokołowskiego  (biuro@pga.org.pl)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Polska Izba Biomasy  (biuro@biomasa.org.pl)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Polska Izba Gospodarcza Energetyki Odnawialnej i Rozproszonej  (pigeor@pigeor.pl)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Polski Komitet Energii Elektrycznej  (pkee@pkee.pl)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Polskie Stowarzyszenie Energetyki Wiatrowej  (biuro@psew.pl)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Polskie Towarzystwo Elektrociepłowni Zawodowych (sekretariat@ptez.com.pl)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Stowarzyszenie Elektryków Polskich  (sep@sep.com.pl)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Stowarzyszenie Energii Odnawialnej  (biuro@seo.org.pl)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Stowarzyszenie Inżynierów i Techników Mechaników Polskich  (simp@simp.pl)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Stowarzyszenie na Rzecz Efektywności – im. prof. Krzysztofa Żmijewskiego  (biuro@stowarzyszenie-zmijewski.pl)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Stowarzyszenie Niezależnych Wytwórców Energii Skojarzonej  (biuro@snwes.pl)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Stowarzyszenie Polskich Energetyków  (wloclawek@spe.org.pl)</w:t>
            </w:r>
          </w:p>
          <w:p w:rsidR="000D0175" w:rsidRPr="00E86E60" w:rsidRDefault="000D0175" w:rsidP="000D0175">
            <w:pPr>
              <w:numPr>
                <w:ilvl w:val="0"/>
                <w:numId w:val="33"/>
              </w:numPr>
              <w:spacing w:line="240" w:lineRule="auto"/>
              <w:jc w:val="both"/>
              <w:rPr>
                <w:rFonts w:ascii="Times New Roman" w:hAnsi="Times New Roman"/>
              </w:rPr>
            </w:pPr>
            <w:r w:rsidRPr="00E86E60">
              <w:rPr>
                <w:rFonts w:ascii="Times New Roman" w:hAnsi="Times New Roman"/>
              </w:rPr>
              <w:t>Towarzystwo Obrotu Energią (sekretariat@toe.pl)</w:t>
            </w:r>
          </w:p>
          <w:p w:rsidR="000D0175" w:rsidRPr="002D6501" w:rsidRDefault="000D0175" w:rsidP="000D0175">
            <w:pPr>
              <w:numPr>
                <w:ilvl w:val="0"/>
                <w:numId w:val="33"/>
              </w:numPr>
              <w:spacing w:line="240" w:lineRule="auto"/>
              <w:jc w:val="both"/>
              <w:rPr>
                <w:color w:val="000000"/>
                <w:spacing w:val="-2"/>
              </w:rPr>
            </w:pPr>
            <w:r w:rsidRPr="00E86E60">
              <w:rPr>
                <w:rFonts w:ascii="Times New Roman" w:hAnsi="Times New Roman"/>
              </w:rPr>
              <w:t>Polska Izba Ekologii  (pie@pie.pl)</w:t>
            </w:r>
          </w:p>
        </w:tc>
      </w:tr>
      <w:tr w:rsidR="000D0175" w:rsidRPr="008B4FE6" w:rsidTr="00481F21">
        <w:trPr>
          <w:gridAfter w:val="1"/>
          <w:wAfter w:w="9" w:type="dxa"/>
          <w:trHeight w:val="363"/>
        </w:trPr>
        <w:tc>
          <w:tcPr>
            <w:tcW w:w="10938" w:type="dxa"/>
            <w:gridSpan w:val="16"/>
            <w:shd w:val="clear" w:color="auto" w:fill="99CCFF"/>
            <w:vAlign w:val="center"/>
          </w:tcPr>
          <w:p w:rsidR="000D0175" w:rsidRPr="008B4FE6" w:rsidRDefault="000D0175" w:rsidP="000D0175">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Wpływ na sektor finansów publicznych</w:t>
            </w:r>
          </w:p>
        </w:tc>
      </w:tr>
      <w:tr w:rsidR="000D0175" w:rsidRPr="008B4FE6" w:rsidTr="00481F21">
        <w:trPr>
          <w:gridAfter w:val="1"/>
          <w:wAfter w:w="9" w:type="dxa"/>
          <w:trHeight w:val="142"/>
        </w:trPr>
        <w:tc>
          <w:tcPr>
            <w:tcW w:w="2720" w:type="dxa"/>
            <w:gridSpan w:val="4"/>
            <w:vMerge w:val="restart"/>
            <w:shd w:val="clear" w:color="auto" w:fill="FFFFFF"/>
          </w:tcPr>
          <w:p w:rsidR="000D0175" w:rsidRPr="00C53F26" w:rsidRDefault="000D0175" w:rsidP="000D0175">
            <w:pPr>
              <w:spacing w:before="40" w:after="40"/>
              <w:rPr>
                <w:rFonts w:ascii="Times New Roman" w:hAnsi="Times New Roman"/>
                <w:i/>
                <w:color w:val="000000"/>
                <w:sz w:val="21"/>
                <w:szCs w:val="21"/>
              </w:rPr>
            </w:pPr>
            <w:r w:rsidRPr="006F78C4">
              <w:rPr>
                <w:rFonts w:ascii="Times New Roman" w:hAnsi="Times New Roman"/>
                <w:color w:val="000000"/>
                <w:sz w:val="21"/>
                <w:szCs w:val="21"/>
              </w:rPr>
              <w:t xml:space="preserve">(ceny </w:t>
            </w:r>
            <w:r>
              <w:rPr>
                <w:rFonts w:ascii="Times New Roman" w:hAnsi="Times New Roman"/>
                <w:color w:val="000000"/>
                <w:sz w:val="21"/>
                <w:szCs w:val="21"/>
              </w:rPr>
              <w:t>stałe</w:t>
            </w:r>
            <w:r w:rsidRPr="006F78C4">
              <w:rPr>
                <w:rFonts w:ascii="Times New Roman" w:hAnsi="Times New Roman"/>
                <w:color w:val="000000"/>
                <w:sz w:val="21"/>
                <w:szCs w:val="21"/>
              </w:rPr>
              <w:t xml:space="preserve"> z </w:t>
            </w:r>
            <w:r>
              <w:rPr>
                <w:rFonts w:ascii="Times New Roman" w:hAnsi="Times New Roman"/>
                <w:color w:val="000000"/>
                <w:sz w:val="21"/>
                <w:szCs w:val="21"/>
              </w:rPr>
              <w:t>03.2020</w:t>
            </w:r>
            <w:r w:rsidRPr="006F78C4">
              <w:rPr>
                <w:rFonts w:ascii="Times New Roman" w:hAnsi="Times New Roman"/>
                <w:color w:val="000000"/>
                <w:sz w:val="21"/>
                <w:szCs w:val="21"/>
              </w:rPr>
              <w:t xml:space="preserve"> r.)</w:t>
            </w:r>
          </w:p>
        </w:tc>
        <w:tc>
          <w:tcPr>
            <w:tcW w:w="8218" w:type="dxa"/>
            <w:gridSpan w:val="12"/>
            <w:shd w:val="clear" w:color="auto" w:fill="FFFFFF"/>
          </w:tcPr>
          <w:p w:rsidR="000D0175" w:rsidRPr="00C53F26" w:rsidRDefault="000D0175" w:rsidP="000D0175">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0D0175" w:rsidRPr="008B4FE6" w:rsidTr="00566CBE">
        <w:trPr>
          <w:gridAfter w:val="1"/>
          <w:wAfter w:w="9" w:type="dxa"/>
          <w:trHeight w:val="458"/>
        </w:trPr>
        <w:tc>
          <w:tcPr>
            <w:tcW w:w="2720" w:type="dxa"/>
            <w:gridSpan w:val="4"/>
            <w:vMerge/>
            <w:shd w:val="clear" w:color="auto" w:fill="FFFFFF"/>
          </w:tcPr>
          <w:p w:rsidR="000D0175" w:rsidRPr="00C53F26" w:rsidRDefault="000D0175" w:rsidP="000D0175">
            <w:pPr>
              <w:spacing w:before="40" w:after="40" w:line="240" w:lineRule="auto"/>
              <w:rPr>
                <w:rFonts w:ascii="Times New Roman" w:hAnsi="Times New Roman"/>
                <w:i/>
                <w:color w:val="000000"/>
                <w:sz w:val="21"/>
                <w:szCs w:val="21"/>
              </w:rPr>
            </w:pPr>
          </w:p>
        </w:tc>
        <w:tc>
          <w:tcPr>
            <w:tcW w:w="665" w:type="dxa"/>
            <w:shd w:val="clear" w:color="auto" w:fill="FFFFFF"/>
          </w:tcPr>
          <w:p w:rsidR="000D0175" w:rsidRPr="00C53F26" w:rsidRDefault="000D0175" w:rsidP="000D0175">
            <w:pPr>
              <w:spacing w:line="240" w:lineRule="auto"/>
              <w:jc w:val="center"/>
              <w:rPr>
                <w:rFonts w:ascii="Times New Roman" w:hAnsi="Times New Roman"/>
                <w:color w:val="000000"/>
                <w:sz w:val="21"/>
                <w:szCs w:val="21"/>
              </w:rPr>
            </w:pPr>
            <w:r>
              <w:rPr>
                <w:rFonts w:ascii="Times New Roman" w:hAnsi="Times New Roman"/>
                <w:color w:val="000000"/>
                <w:sz w:val="21"/>
                <w:szCs w:val="21"/>
              </w:rPr>
              <w:t>202</w:t>
            </w:r>
            <w:r w:rsidRPr="00C53F26">
              <w:rPr>
                <w:rFonts w:ascii="Times New Roman" w:hAnsi="Times New Roman"/>
                <w:color w:val="000000"/>
                <w:sz w:val="21"/>
                <w:szCs w:val="21"/>
              </w:rPr>
              <w:t>0</w:t>
            </w:r>
          </w:p>
        </w:tc>
        <w:tc>
          <w:tcPr>
            <w:tcW w:w="665" w:type="dxa"/>
            <w:shd w:val="clear" w:color="auto" w:fill="FFFFFF"/>
          </w:tcPr>
          <w:p w:rsidR="000D0175" w:rsidRPr="00C53F26" w:rsidRDefault="000D0175" w:rsidP="000D0175">
            <w:pPr>
              <w:spacing w:line="240" w:lineRule="auto"/>
              <w:jc w:val="center"/>
              <w:rPr>
                <w:rFonts w:ascii="Times New Roman" w:hAnsi="Times New Roman"/>
                <w:color w:val="000000"/>
                <w:sz w:val="21"/>
                <w:szCs w:val="21"/>
              </w:rPr>
            </w:pPr>
            <w:r>
              <w:rPr>
                <w:rFonts w:ascii="Times New Roman" w:hAnsi="Times New Roman"/>
                <w:color w:val="000000"/>
                <w:sz w:val="21"/>
                <w:szCs w:val="21"/>
              </w:rPr>
              <w:t>202</w:t>
            </w:r>
            <w:r w:rsidRPr="00C53F26">
              <w:rPr>
                <w:rFonts w:ascii="Times New Roman" w:hAnsi="Times New Roman"/>
                <w:color w:val="000000"/>
                <w:sz w:val="21"/>
                <w:szCs w:val="21"/>
              </w:rPr>
              <w:t>1</w:t>
            </w:r>
          </w:p>
        </w:tc>
        <w:tc>
          <w:tcPr>
            <w:tcW w:w="665" w:type="dxa"/>
            <w:shd w:val="clear" w:color="auto" w:fill="FFFFFF"/>
          </w:tcPr>
          <w:p w:rsidR="000D0175" w:rsidRPr="00C53F26" w:rsidRDefault="000D0175" w:rsidP="000D0175">
            <w:pPr>
              <w:spacing w:line="240" w:lineRule="auto"/>
              <w:jc w:val="center"/>
              <w:rPr>
                <w:rFonts w:ascii="Times New Roman" w:hAnsi="Times New Roman"/>
                <w:color w:val="000000"/>
                <w:sz w:val="21"/>
                <w:szCs w:val="21"/>
              </w:rPr>
            </w:pPr>
            <w:r>
              <w:rPr>
                <w:rFonts w:ascii="Times New Roman" w:hAnsi="Times New Roman"/>
                <w:color w:val="000000"/>
                <w:sz w:val="21"/>
                <w:szCs w:val="21"/>
              </w:rPr>
              <w:t>202</w:t>
            </w:r>
            <w:r w:rsidRPr="00C53F26">
              <w:rPr>
                <w:rFonts w:ascii="Times New Roman" w:hAnsi="Times New Roman"/>
                <w:color w:val="000000"/>
                <w:sz w:val="21"/>
                <w:szCs w:val="21"/>
              </w:rPr>
              <w:t>2</w:t>
            </w:r>
          </w:p>
        </w:tc>
        <w:tc>
          <w:tcPr>
            <w:tcW w:w="665" w:type="dxa"/>
            <w:shd w:val="clear" w:color="auto" w:fill="FFFFFF"/>
          </w:tcPr>
          <w:p w:rsidR="000D0175" w:rsidRPr="00C53F26" w:rsidRDefault="000D0175" w:rsidP="000D0175">
            <w:pPr>
              <w:spacing w:line="240" w:lineRule="auto"/>
              <w:jc w:val="center"/>
              <w:rPr>
                <w:rFonts w:ascii="Times New Roman" w:hAnsi="Times New Roman"/>
                <w:color w:val="000000"/>
                <w:sz w:val="21"/>
                <w:szCs w:val="21"/>
              </w:rPr>
            </w:pPr>
            <w:r>
              <w:rPr>
                <w:rFonts w:ascii="Times New Roman" w:hAnsi="Times New Roman"/>
                <w:color w:val="000000"/>
                <w:sz w:val="21"/>
                <w:szCs w:val="21"/>
              </w:rPr>
              <w:t>202</w:t>
            </w:r>
            <w:r w:rsidRPr="00C53F26">
              <w:rPr>
                <w:rFonts w:ascii="Times New Roman" w:hAnsi="Times New Roman"/>
                <w:color w:val="000000"/>
                <w:sz w:val="21"/>
                <w:szCs w:val="21"/>
              </w:rPr>
              <w:t>3</w:t>
            </w:r>
          </w:p>
        </w:tc>
        <w:tc>
          <w:tcPr>
            <w:tcW w:w="665" w:type="dxa"/>
            <w:shd w:val="clear" w:color="auto" w:fill="FFFFFF"/>
          </w:tcPr>
          <w:p w:rsidR="000D0175" w:rsidRPr="00C53F26" w:rsidRDefault="000D0175" w:rsidP="000D0175">
            <w:pPr>
              <w:spacing w:line="240" w:lineRule="auto"/>
              <w:jc w:val="center"/>
              <w:rPr>
                <w:rFonts w:ascii="Times New Roman" w:hAnsi="Times New Roman"/>
                <w:color w:val="000000"/>
                <w:sz w:val="21"/>
                <w:szCs w:val="21"/>
              </w:rPr>
            </w:pPr>
            <w:r>
              <w:rPr>
                <w:rFonts w:ascii="Times New Roman" w:hAnsi="Times New Roman"/>
                <w:color w:val="000000"/>
                <w:sz w:val="21"/>
                <w:szCs w:val="21"/>
              </w:rPr>
              <w:t>202</w:t>
            </w:r>
            <w:r w:rsidRPr="00C53F26">
              <w:rPr>
                <w:rFonts w:ascii="Times New Roman" w:hAnsi="Times New Roman"/>
                <w:color w:val="000000"/>
                <w:sz w:val="21"/>
                <w:szCs w:val="21"/>
              </w:rPr>
              <w:t>4</w:t>
            </w:r>
          </w:p>
        </w:tc>
        <w:tc>
          <w:tcPr>
            <w:tcW w:w="665" w:type="dxa"/>
            <w:shd w:val="clear" w:color="auto" w:fill="FFFFFF"/>
          </w:tcPr>
          <w:p w:rsidR="000D0175" w:rsidRPr="00C53F26" w:rsidRDefault="000D0175" w:rsidP="000D0175">
            <w:pPr>
              <w:spacing w:line="240" w:lineRule="auto"/>
              <w:jc w:val="center"/>
              <w:rPr>
                <w:rFonts w:ascii="Times New Roman" w:hAnsi="Times New Roman"/>
                <w:color w:val="000000"/>
                <w:sz w:val="21"/>
                <w:szCs w:val="21"/>
              </w:rPr>
            </w:pPr>
            <w:r>
              <w:rPr>
                <w:rFonts w:ascii="Times New Roman" w:hAnsi="Times New Roman"/>
                <w:color w:val="000000"/>
                <w:sz w:val="21"/>
                <w:szCs w:val="21"/>
              </w:rPr>
              <w:t>202</w:t>
            </w:r>
            <w:r w:rsidRPr="00C53F26">
              <w:rPr>
                <w:rFonts w:ascii="Times New Roman" w:hAnsi="Times New Roman"/>
                <w:color w:val="000000"/>
                <w:sz w:val="21"/>
                <w:szCs w:val="21"/>
              </w:rPr>
              <w:t>5</w:t>
            </w:r>
          </w:p>
        </w:tc>
        <w:tc>
          <w:tcPr>
            <w:tcW w:w="665" w:type="dxa"/>
            <w:shd w:val="clear" w:color="auto" w:fill="FFFFFF"/>
          </w:tcPr>
          <w:p w:rsidR="000D0175" w:rsidRPr="00C53F26" w:rsidRDefault="000D0175" w:rsidP="000D0175">
            <w:pPr>
              <w:spacing w:line="240" w:lineRule="auto"/>
              <w:jc w:val="center"/>
              <w:rPr>
                <w:rFonts w:ascii="Times New Roman" w:hAnsi="Times New Roman"/>
                <w:color w:val="000000"/>
                <w:sz w:val="21"/>
                <w:szCs w:val="21"/>
              </w:rPr>
            </w:pPr>
            <w:r>
              <w:rPr>
                <w:rFonts w:ascii="Times New Roman" w:hAnsi="Times New Roman"/>
                <w:color w:val="000000"/>
                <w:sz w:val="21"/>
                <w:szCs w:val="21"/>
              </w:rPr>
              <w:t>202</w:t>
            </w:r>
            <w:r w:rsidRPr="00C53F26">
              <w:rPr>
                <w:rFonts w:ascii="Times New Roman" w:hAnsi="Times New Roman"/>
                <w:color w:val="000000"/>
                <w:sz w:val="21"/>
                <w:szCs w:val="21"/>
              </w:rPr>
              <w:t>6</w:t>
            </w:r>
          </w:p>
        </w:tc>
        <w:tc>
          <w:tcPr>
            <w:tcW w:w="665" w:type="dxa"/>
            <w:shd w:val="clear" w:color="auto" w:fill="FFFFFF"/>
          </w:tcPr>
          <w:p w:rsidR="000D0175" w:rsidRPr="00C53F26" w:rsidRDefault="000D0175" w:rsidP="000D0175">
            <w:pPr>
              <w:spacing w:line="240" w:lineRule="auto"/>
              <w:jc w:val="center"/>
              <w:rPr>
                <w:rFonts w:ascii="Times New Roman" w:hAnsi="Times New Roman"/>
                <w:color w:val="000000"/>
                <w:sz w:val="21"/>
                <w:szCs w:val="21"/>
              </w:rPr>
            </w:pPr>
            <w:r>
              <w:rPr>
                <w:rFonts w:ascii="Times New Roman" w:hAnsi="Times New Roman"/>
                <w:color w:val="000000"/>
                <w:sz w:val="21"/>
                <w:szCs w:val="21"/>
              </w:rPr>
              <w:t>202</w:t>
            </w:r>
            <w:r w:rsidRPr="00C53F26">
              <w:rPr>
                <w:rFonts w:ascii="Times New Roman" w:hAnsi="Times New Roman"/>
                <w:color w:val="000000"/>
                <w:sz w:val="21"/>
                <w:szCs w:val="21"/>
              </w:rPr>
              <w:t>7</w:t>
            </w:r>
          </w:p>
        </w:tc>
        <w:tc>
          <w:tcPr>
            <w:tcW w:w="665" w:type="dxa"/>
            <w:shd w:val="clear" w:color="auto" w:fill="FFFFFF"/>
          </w:tcPr>
          <w:p w:rsidR="000D0175" w:rsidRPr="00C53F26" w:rsidRDefault="000D0175" w:rsidP="000D0175">
            <w:pPr>
              <w:spacing w:line="240" w:lineRule="auto"/>
              <w:jc w:val="center"/>
              <w:rPr>
                <w:rFonts w:ascii="Times New Roman" w:hAnsi="Times New Roman"/>
                <w:color w:val="000000"/>
                <w:sz w:val="21"/>
                <w:szCs w:val="21"/>
              </w:rPr>
            </w:pPr>
            <w:r>
              <w:rPr>
                <w:rFonts w:ascii="Times New Roman" w:hAnsi="Times New Roman"/>
                <w:color w:val="000000"/>
                <w:sz w:val="21"/>
                <w:szCs w:val="21"/>
              </w:rPr>
              <w:t>202</w:t>
            </w:r>
            <w:r w:rsidRPr="00C53F26">
              <w:rPr>
                <w:rFonts w:ascii="Times New Roman" w:hAnsi="Times New Roman"/>
                <w:color w:val="000000"/>
                <w:sz w:val="21"/>
                <w:szCs w:val="21"/>
              </w:rPr>
              <w:t>8</w:t>
            </w:r>
          </w:p>
        </w:tc>
        <w:tc>
          <w:tcPr>
            <w:tcW w:w="665" w:type="dxa"/>
            <w:shd w:val="clear" w:color="auto" w:fill="FFFFFF"/>
          </w:tcPr>
          <w:p w:rsidR="000D0175" w:rsidRPr="00C53F26" w:rsidRDefault="000D0175" w:rsidP="000D0175">
            <w:pPr>
              <w:spacing w:line="240" w:lineRule="auto"/>
              <w:jc w:val="center"/>
              <w:rPr>
                <w:rFonts w:ascii="Times New Roman" w:hAnsi="Times New Roman"/>
                <w:color w:val="000000"/>
                <w:sz w:val="21"/>
                <w:szCs w:val="21"/>
              </w:rPr>
            </w:pPr>
            <w:r>
              <w:rPr>
                <w:rFonts w:ascii="Times New Roman" w:hAnsi="Times New Roman"/>
                <w:color w:val="000000"/>
                <w:sz w:val="21"/>
                <w:szCs w:val="21"/>
              </w:rPr>
              <w:t>202</w:t>
            </w:r>
            <w:r w:rsidRPr="00C53F26">
              <w:rPr>
                <w:rFonts w:ascii="Times New Roman" w:hAnsi="Times New Roman"/>
                <w:color w:val="000000"/>
                <w:sz w:val="21"/>
                <w:szCs w:val="21"/>
              </w:rPr>
              <w:t>9</w:t>
            </w:r>
          </w:p>
        </w:tc>
        <w:tc>
          <w:tcPr>
            <w:tcW w:w="665" w:type="dxa"/>
            <w:shd w:val="clear" w:color="auto" w:fill="FFFFFF"/>
          </w:tcPr>
          <w:p w:rsidR="000D0175" w:rsidRPr="00C53F26" w:rsidRDefault="000D0175" w:rsidP="000D0175">
            <w:pPr>
              <w:spacing w:line="240" w:lineRule="auto"/>
              <w:jc w:val="center"/>
              <w:rPr>
                <w:rFonts w:ascii="Times New Roman" w:hAnsi="Times New Roman"/>
                <w:color w:val="000000"/>
                <w:sz w:val="21"/>
                <w:szCs w:val="21"/>
              </w:rPr>
            </w:pPr>
            <w:r>
              <w:rPr>
                <w:rFonts w:ascii="Times New Roman" w:hAnsi="Times New Roman"/>
                <w:color w:val="000000"/>
                <w:sz w:val="21"/>
                <w:szCs w:val="21"/>
              </w:rPr>
              <w:t>203</w:t>
            </w:r>
            <w:r w:rsidRPr="00C53F26">
              <w:rPr>
                <w:rFonts w:ascii="Times New Roman" w:hAnsi="Times New Roman"/>
                <w:color w:val="000000"/>
                <w:sz w:val="21"/>
                <w:szCs w:val="21"/>
              </w:rPr>
              <w:t>0</w:t>
            </w:r>
          </w:p>
        </w:tc>
        <w:tc>
          <w:tcPr>
            <w:tcW w:w="903" w:type="dxa"/>
            <w:shd w:val="clear" w:color="auto" w:fill="FFFFFF"/>
          </w:tcPr>
          <w:p w:rsidR="000D0175" w:rsidRPr="00C53F26" w:rsidRDefault="000D0175" w:rsidP="000D0175">
            <w:pPr>
              <w:spacing w:before="40" w:after="40" w:line="240" w:lineRule="auto"/>
              <w:jc w:val="center"/>
              <w:rPr>
                <w:rFonts w:ascii="Times New Roman" w:hAnsi="Times New Roman"/>
                <w:i/>
                <w:color w:val="000000"/>
                <w:spacing w:val="-2"/>
                <w:sz w:val="21"/>
                <w:szCs w:val="21"/>
              </w:rPr>
            </w:pPr>
            <w:r w:rsidRPr="00C53F26">
              <w:rPr>
                <w:rFonts w:ascii="Times New Roman" w:hAnsi="Times New Roman"/>
                <w:i/>
                <w:color w:val="000000"/>
                <w:spacing w:val="-2"/>
                <w:sz w:val="21"/>
                <w:szCs w:val="21"/>
              </w:rPr>
              <w:t>Łącznie</w:t>
            </w:r>
            <w:r>
              <w:rPr>
                <w:rFonts w:ascii="Times New Roman" w:hAnsi="Times New Roman"/>
                <w:i/>
                <w:color w:val="000000"/>
                <w:spacing w:val="-2"/>
                <w:sz w:val="21"/>
                <w:szCs w:val="21"/>
              </w:rPr>
              <w:t xml:space="preserve"> (0-10)</w:t>
            </w:r>
          </w:p>
        </w:tc>
      </w:tr>
      <w:tr w:rsidR="000D0175" w:rsidRPr="008B4FE6" w:rsidTr="00566CBE">
        <w:trPr>
          <w:trHeight w:val="321"/>
        </w:trPr>
        <w:tc>
          <w:tcPr>
            <w:tcW w:w="2720" w:type="dxa"/>
            <w:gridSpan w:val="4"/>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sidRPr="00C53F26">
              <w:rPr>
                <w:rFonts w:ascii="Times New Roman" w:hAnsi="Times New Roman"/>
                <w:b/>
                <w:color w:val="000000"/>
                <w:sz w:val="21"/>
                <w:szCs w:val="21"/>
              </w:rPr>
              <w:lastRenderedPageBreak/>
              <w:t>Dochody ogółem</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FD31C4">
              <w:rPr>
                <w:rFonts w:ascii="Times New Roman" w:hAnsi="Times New Roman"/>
                <w:sz w:val="21"/>
                <w:szCs w:val="21"/>
              </w:rPr>
              <w:t>10,5</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FD31C4">
              <w:rPr>
                <w:rFonts w:ascii="Times New Roman" w:hAnsi="Times New Roman"/>
                <w:sz w:val="21"/>
                <w:szCs w:val="21"/>
              </w:rPr>
              <w:t>10,5</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FD31C4">
              <w:rPr>
                <w:rFonts w:ascii="Times New Roman" w:hAnsi="Times New Roman"/>
                <w:sz w:val="21"/>
                <w:szCs w:val="21"/>
              </w:rPr>
              <w:t>10,5</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FD31C4">
              <w:rPr>
                <w:rFonts w:ascii="Times New Roman" w:hAnsi="Times New Roman"/>
                <w:sz w:val="21"/>
                <w:szCs w:val="21"/>
              </w:rPr>
              <w:t>10,5</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FD31C4">
              <w:rPr>
                <w:rFonts w:ascii="Times New Roman" w:hAnsi="Times New Roman"/>
                <w:sz w:val="21"/>
                <w:szCs w:val="21"/>
              </w:rPr>
              <w:t>10,5</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FD31C4">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616486">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616486">
              <w:rPr>
                <w:rFonts w:ascii="Times New Roman" w:hAnsi="Times New Roman"/>
                <w:sz w:val="21"/>
                <w:szCs w:val="21"/>
              </w:rPr>
              <w:t>10,0</w:t>
            </w: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p>
        </w:tc>
        <w:tc>
          <w:tcPr>
            <w:tcW w:w="912" w:type="dxa"/>
            <w:gridSpan w:val="2"/>
            <w:shd w:val="clear" w:color="auto" w:fill="FFFFFF"/>
          </w:tcPr>
          <w:p w:rsidR="000D0175" w:rsidRPr="00D50257" w:rsidRDefault="000D0175" w:rsidP="000D0175">
            <w:pPr>
              <w:pStyle w:val="Bezodstpw"/>
              <w:jc w:val="right"/>
              <w:rPr>
                <w:rFonts w:ascii="Times New Roman" w:hAnsi="Times New Roman"/>
                <w:color w:val="000000"/>
                <w:spacing w:val="-2"/>
                <w:sz w:val="21"/>
                <w:szCs w:val="21"/>
              </w:rPr>
            </w:pPr>
            <w:r w:rsidRPr="00616486">
              <w:rPr>
                <w:rFonts w:ascii="Times New Roman" w:hAnsi="Times New Roman"/>
                <w:sz w:val="21"/>
                <w:szCs w:val="21"/>
              </w:rPr>
              <w:t>82,5</w:t>
            </w:r>
          </w:p>
        </w:tc>
      </w:tr>
      <w:tr w:rsidR="000D0175" w:rsidRPr="008B4FE6" w:rsidTr="00566CBE">
        <w:trPr>
          <w:trHeight w:val="321"/>
        </w:trPr>
        <w:tc>
          <w:tcPr>
            <w:tcW w:w="2720" w:type="dxa"/>
            <w:gridSpan w:val="4"/>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912" w:type="dxa"/>
            <w:gridSpan w:val="2"/>
            <w:shd w:val="clear" w:color="auto" w:fill="FFFFFF"/>
          </w:tcPr>
          <w:p w:rsidR="000D0175" w:rsidRPr="00616486" w:rsidRDefault="000D0175" w:rsidP="000D0175">
            <w:pPr>
              <w:pStyle w:val="Bezodstpw"/>
              <w:jc w:val="right"/>
              <w:rPr>
                <w:rFonts w:ascii="Times New Roman" w:hAnsi="Times New Roman"/>
                <w:color w:val="000000"/>
                <w:spacing w:val="-2"/>
                <w:sz w:val="21"/>
                <w:szCs w:val="21"/>
              </w:rPr>
            </w:pPr>
          </w:p>
        </w:tc>
      </w:tr>
      <w:tr w:rsidR="000D0175" w:rsidRPr="008B4FE6" w:rsidTr="004F42AE">
        <w:trPr>
          <w:trHeight w:val="330"/>
        </w:trPr>
        <w:tc>
          <w:tcPr>
            <w:tcW w:w="2720" w:type="dxa"/>
            <w:gridSpan w:val="4"/>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Pr>
                <w:rFonts w:ascii="Times New Roman" w:hAnsi="Times New Roman"/>
                <w:color w:val="000000"/>
                <w:sz w:val="21"/>
                <w:szCs w:val="21"/>
              </w:rPr>
              <w:t>NFOŚiGW</w:t>
            </w: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r w:rsidRPr="00FD31C4">
              <w:rPr>
                <w:rFonts w:ascii="Times New Roman" w:hAnsi="Times New Roman"/>
                <w:sz w:val="21"/>
                <w:szCs w:val="21"/>
              </w:rPr>
              <w:t>0,5</w:t>
            </w: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r w:rsidRPr="00616486">
              <w:rPr>
                <w:rFonts w:ascii="Times New Roman" w:hAnsi="Times New Roman"/>
                <w:sz w:val="21"/>
                <w:szCs w:val="21"/>
              </w:rPr>
              <w:t>0,5</w:t>
            </w: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r w:rsidRPr="00616486">
              <w:rPr>
                <w:rFonts w:ascii="Times New Roman" w:hAnsi="Times New Roman"/>
                <w:sz w:val="21"/>
                <w:szCs w:val="21"/>
              </w:rPr>
              <w:t>0,5</w:t>
            </w: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r w:rsidRPr="00616486">
              <w:rPr>
                <w:rFonts w:ascii="Times New Roman" w:hAnsi="Times New Roman"/>
                <w:sz w:val="21"/>
                <w:szCs w:val="21"/>
              </w:rPr>
              <w:t>0,5</w:t>
            </w: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r w:rsidRPr="00616486">
              <w:rPr>
                <w:rFonts w:ascii="Times New Roman" w:hAnsi="Times New Roman"/>
                <w:sz w:val="21"/>
                <w:szCs w:val="21"/>
              </w:rPr>
              <w:t>0,5</w:t>
            </w: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912" w:type="dxa"/>
            <w:gridSpan w:val="2"/>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616486">
              <w:rPr>
                <w:rFonts w:ascii="Times New Roman" w:hAnsi="Times New Roman"/>
                <w:sz w:val="21"/>
                <w:szCs w:val="21"/>
              </w:rPr>
              <w:t>2,5</w:t>
            </w:r>
          </w:p>
        </w:tc>
      </w:tr>
      <w:tr w:rsidR="000D0175" w:rsidRPr="008B4FE6" w:rsidTr="00566CBE">
        <w:trPr>
          <w:trHeight w:val="344"/>
        </w:trPr>
        <w:tc>
          <w:tcPr>
            <w:tcW w:w="2720" w:type="dxa"/>
            <w:gridSpan w:val="4"/>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10,0</w:t>
            </w: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912" w:type="dxa"/>
            <w:gridSpan w:val="2"/>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80,0</w:t>
            </w:r>
          </w:p>
        </w:tc>
      </w:tr>
      <w:tr w:rsidR="000D0175" w:rsidRPr="008B4FE6" w:rsidTr="00566CBE">
        <w:trPr>
          <w:trHeight w:val="344"/>
        </w:trPr>
        <w:tc>
          <w:tcPr>
            <w:tcW w:w="2720" w:type="dxa"/>
            <w:gridSpan w:val="4"/>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912" w:type="dxa"/>
            <w:gridSpan w:val="2"/>
            <w:shd w:val="clear" w:color="auto" w:fill="FFFFFF"/>
          </w:tcPr>
          <w:p w:rsidR="000D0175" w:rsidRPr="00616486" w:rsidRDefault="000D0175" w:rsidP="000D0175">
            <w:pPr>
              <w:pStyle w:val="Bezodstpw"/>
              <w:jc w:val="right"/>
              <w:rPr>
                <w:rFonts w:ascii="Times New Roman" w:hAnsi="Times New Roman"/>
                <w:color w:val="000000"/>
                <w:sz w:val="21"/>
                <w:szCs w:val="21"/>
              </w:rPr>
            </w:pPr>
          </w:p>
        </w:tc>
      </w:tr>
      <w:tr w:rsidR="000D0175" w:rsidRPr="008B4FE6" w:rsidTr="00566CBE">
        <w:trPr>
          <w:trHeight w:val="330"/>
        </w:trPr>
        <w:tc>
          <w:tcPr>
            <w:tcW w:w="2720" w:type="dxa"/>
            <w:gridSpan w:val="4"/>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10</w:t>
            </w:r>
            <w:r w:rsidRPr="00481F21">
              <w:rPr>
                <w:rFonts w:ascii="Times New Roman" w:hAnsi="Times New Roman"/>
                <w:sz w:val="21"/>
              </w:rPr>
              <w:t>,2</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26166A">
              <w:rPr>
                <w:rFonts w:ascii="Times New Roman" w:hAnsi="Times New Roman"/>
                <w:sz w:val="21"/>
                <w:szCs w:val="21"/>
              </w:rPr>
              <w:t>11,</w:t>
            </w:r>
            <w:r>
              <w:rPr>
                <w:rFonts w:ascii="Times New Roman" w:hAnsi="Times New Roman"/>
                <w:sz w:val="21"/>
                <w:szCs w:val="21"/>
              </w:rPr>
              <w:t>1</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26166A">
              <w:rPr>
                <w:rFonts w:ascii="Times New Roman" w:hAnsi="Times New Roman"/>
                <w:sz w:val="21"/>
                <w:szCs w:val="21"/>
              </w:rPr>
              <w:t>1</w:t>
            </w:r>
            <w:r>
              <w:rPr>
                <w:rFonts w:ascii="Times New Roman" w:hAnsi="Times New Roman"/>
                <w:sz w:val="21"/>
                <w:szCs w:val="21"/>
              </w:rPr>
              <w:t>1</w:t>
            </w:r>
            <w:r w:rsidRPr="0026166A">
              <w:rPr>
                <w:rFonts w:ascii="Times New Roman" w:hAnsi="Times New Roman"/>
                <w:sz w:val="21"/>
                <w:szCs w:val="21"/>
              </w:rPr>
              <w:t>,</w:t>
            </w:r>
            <w:r>
              <w:rPr>
                <w:rFonts w:ascii="Times New Roman" w:hAnsi="Times New Roman"/>
                <w:sz w:val="21"/>
                <w:szCs w:val="21"/>
              </w:rPr>
              <w:t>8</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26166A">
              <w:rPr>
                <w:rFonts w:ascii="Times New Roman" w:hAnsi="Times New Roman"/>
                <w:sz w:val="21"/>
                <w:szCs w:val="21"/>
              </w:rPr>
              <w:t>12,</w:t>
            </w:r>
            <w:r>
              <w:rPr>
                <w:rFonts w:ascii="Times New Roman" w:hAnsi="Times New Roman"/>
                <w:sz w:val="21"/>
                <w:szCs w:val="21"/>
              </w:rPr>
              <w:t>6</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13,</w:t>
            </w:r>
            <w:r w:rsidRPr="00481F21">
              <w:rPr>
                <w:rFonts w:ascii="Times New Roman" w:hAnsi="Times New Roman"/>
                <w:sz w:val="21"/>
              </w:rPr>
              <w:t>3</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13,</w:t>
            </w:r>
            <w:r w:rsidRPr="00481F21">
              <w:rPr>
                <w:rFonts w:ascii="Times New Roman" w:hAnsi="Times New Roman"/>
                <w:sz w:val="21"/>
              </w:rPr>
              <w:t>3</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13,</w:t>
            </w:r>
            <w:r w:rsidRPr="00481F21">
              <w:rPr>
                <w:rFonts w:ascii="Times New Roman" w:hAnsi="Times New Roman"/>
                <w:sz w:val="21"/>
              </w:rPr>
              <w:t>3</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13,</w:t>
            </w:r>
            <w:r w:rsidRPr="00481F21">
              <w:rPr>
                <w:rFonts w:ascii="Times New Roman" w:hAnsi="Times New Roman"/>
                <w:sz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912" w:type="dxa"/>
            <w:gridSpan w:val="2"/>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10</w:t>
            </w:r>
            <w:r>
              <w:rPr>
                <w:rFonts w:ascii="Times New Roman" w:hAnsi="Times New Roman"/>
                <w:sz w:val="21"/>
                <w:szCs w:val="21"/>
              </w:rPr>
              <w:t>8</w:t>
            </w:r>
            <w:r w:rsidRPr="00481F21">
              <w:rPr>
                <w:rFonts w:ascii="Times New Roman" w:hAnsi="Times New Roman"/>
                <w:sz w:val="21"/>
              </w:rPr>
              <w:t>,8</w:t>
            </w:r>
          </w:p>
        </w:tc>
      </w:tr>
      <w:tr w:rsidR="000D0175" w:rsidRPr="008B4FE6" w:rsidTr="00566CBE">
        <w:trPr>
          <w:trHeight w:val="330"/>
        </w:trPr>
        <w:tc>
          <w:tcPr>
            <w:tcW w:w="2720" w:type="dxa"/>
            <w:gridSpan w:val="4"/>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0,2</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Pr>
                <w:rFonts w:ascii="Times New Roman" w:hAnsi="Times New Roman"/>
                <w:sz w:val="21"/>
                <w:szCs w:val="21"/>
              </w:rPr>
              <w:t>1,1</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1,</w:t>
            </w:r>
            <w:r>
              <w:rPr>
                <w:rFonts w:ascii="Times New Roman" w:hAnsi="Times New Roman"/>
                <w:sz w:val="21"/>
                <w:szCs w:val="21"/>
              </w:rPr>
              <w:t>8</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2,</w:t>
            </w:r>
            <w:r>
              <w:rPr>
                <w:rFonts w:ascii="Times New Roman" w:hAnsi="Times New Roman"/>
                <w:sz w:val="21"/>
                <w:szCs w:val="21"/>
              </w:rPr>
              <w:t>6</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912" w:type="dxa"/>
            <w:gridSpan w:val="2"/>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2</w:t>
            </w:r>
            <w:r>
              <w:rPr>
                <w:rFonts w:ascii="Times New Roman" w:hAnsi="Times New Roman"/>
                <w:sz w:val="21"/>
                <w:szCs w:val="21"/>
              </w:rPr>
              <w:t>8</w:t>
            </w:r>
            <w:r w:rsidRPr="00481F21">
              <w:rPr>
                <w:rFonts w:ascii="Times New Roman" w:hAnsi="Times New Roman"/>
                <w:sz w:val="21"/>
              </w:rPr>
              <w:t>,8</w:t>
            </w:r>
          </w:p>
        </w:tc>
      </w:tr>
      <w:tr w:rsidR="000D0175" w:rsidRPr="008B4FE6" w:rsidTr="004F42AE">
        <w:trPr>
          <w:trHeight w:val="330"/>
        </w:trPr>
        <w:tc>
          <w:tcPr>
            <w:tcW w:w="2720" w:type="dxa"/>
            <w:gridSpan w:val="4"/>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Pr>
                <w:rFonts w:ascii="Times New Roman" w:hAnsi="Times New Roman"/>
                <w:color w:val="000000"/>
                <w:sz w:val="21"/>
                <w:szCs w:val="21"/>
              </w:rPr>
              <w:t>NFOŚiGW/WFOŚiGW</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42937">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A669B9">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26166A">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26166A">
              <w:rPr>
                <w:rFonts w:ascii="Times New Roman" w:hAnsi="Times New Roman"/>
                <w:sz w:val="21"/>
                <w:szCs w:val="21"/>
              </w:rPr>
              <w:t>10,0</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26166A">
              <w:rPr>
                <w:rFonts w:ascii="Times New Roman" w:hAnsi="Times New Roman"/>
                <w:sz w:val="21"/>
                <w:szCs w:val="21"/>
              </w:rPr>
              <w:t>10,0</w:t>
            </w: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912" w:type="dxa"/>
            <w:gridSpan w:val="2"/>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26166A">
              <w:rPr>
                <w:rFonts w:ascii="Times New Roman" w:hAnsi="Times New Roman"/>
                <w:sz w:val="21"/>
                <w:szCs w:val="21"/>
              </w:rPr>
              <w:t>80,0</w:t>
            </w:r>
          </w:p>
        </w:tc>
      </w:tr>
      <w:tr w:rsidR="000D0175" w:rsidRPr="008B4FE6" w:rsidTr="00566CBE">
        <w:trPr>
          <w:trHeight w:val="351"/>
        </w:trPr>
        <w:tc>
          <w:tcPr>
            <w:tcW w:w="2720" w:type="dxa"/>
            <w:gridSpan w:val="4"/>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912" w:type="dxa"/>
            <w:gridSpan w:val="2"/>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26166A">
              <w:rPr>
                <w:rFonts w:ascii="Times New Roman" w:hAnsi="Times New Roman"/>
                <w:sz w:val="21"/>
                <w:szCs w:val="21"/>
              </w:rPr>
              <w:t>0,0</w:t>
            </w:r>
          </w:p>
        </w:tc>
      </w:tr>
      <w:tr w:rsidR="000D0175" w:rsidRPr="008B4FE6" w:rsidTr="00566CBE">
        <w:trPr>
          <w:trHeight w:val="351"/>
        </w:trPr>
        <w:tc>
          <w:tcPr>
            <w:tcW w:w="2720" w:type="dxa"/>
            <w:gridSpan w:val="4"/>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912" w:type="dxa"/>
            <w:gridSpan w:val="2"/>
            <w:shd w:val="clear" w:color="auto" w:fill="FFFFFF"/>
          </w:tcPr>
          <w:p w:rsidR="000D0175" w:rsidRPr="00616486" w:rsidRDefault="000D0175" w:rsidP="000D0175">
            <w:pPr>
              <w:pStyle w:val="Bezodstpw"/>
              <w:jc w:val="right"/>
              <w:rPr>
                <w:rFonts w:ascii="Times New Roman" w:hAnsi="Times New Roman"/>
                <w:color w:val="000000"/>
                <w:sz w:val="21"/>
                <w:szCs w:val="21"/>
              </w:rPr>
            </w:pPr>
          </w:p>
        </w:tc>
      </w:tr>
      <w:tr w:rsidR="000D0175" w:rsidRPr="008B4FE6" w:rsidTr="00566CBE">
        <w:trPr>
          <w:trHeight w:val="360"/>
        </w:trPr>
        <w:tc>
          <w:tcPr>
            <w:tcW w:w="2720" w:type="dxa"/>
            <w:gridSpan w:val="4"/>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0,</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-0,</w:t>
            </w:r>
            <w:r>
              <w:rPr>
                <w:rFonts w:ascii="Times New Roman" w:hAnsi="Times New Roman"/>
                <w:sz w:val="21"/>
                <w:szCs w:val="21"/>
              </w:rPr>
              <w:t>6</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-1,</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-2,</w:t>
            </w:r>
            <w:r>
              <w:rPr>
                <w:rFonts w:ascii="Times New Roman" w:hAnsi="Times New Roman"/>
                <w:sz w:val="21"/>
                <w:szCs w:val="21"/>
              </w:rPr>
              <w:t>1</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w:t>
            </w:r>
            <w:r>
              <w:rPr>
                <w:rFonts w:ascii="Times New Roman" w:hAnsi="Times New Roman"/>
                <w:sz w:val="21"/>
                <w:szCs w:val="21"/>
              </w:rPr>
              <w:t>2,8</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912" w:type="dxa"/>
            <w:gridSpan w:val="2"/>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w:t>
            </w:r>
            <w:r w:rsidRPr="000B78D6">
              <w:rPr>
                <w:rFonts w:ascii="Times New Roman" w:hAnsi="Times New Roman"/>
                <w:sz w:val="21"/>
                <w:szCs w:val="21"/>
              </w:rPr>
              <w:t>2</w:t>
            </w:r>
            <w:r>
              <w:rPr>
                <w:rFonts w:ascii="Times New Roman" w:hAnsi="Times New Roman"/>
                <w:sz w:val="21"/>
                <w:szCs w:val="21"/>
              </w:rPr>
              <w:t>6</w:t>
            </w:r>
            <w:r w:rsidRPr="000B78D6">
              <w:rPr>
                <w:rFonts w:ascii="Times New Roman" w:hAnsi="Times New Roman"/>
                <w:sz w:val="21"/>
                <w:szCs w:val="21"/>
              </w:rPr>
              <w:t>,</w:t>
            </w:r>
            <w:r>
              <w:rPr>
                <w:rFonts w:ascii="Times New Roman" w:hAnsi="Times New Roman"/>
                <w:sz w:val="21"/>
                <w:szCs w:val="21"/>
              </w:rPr>
              <w:t>3</w:t>
            </w:r>
          </w:p>
        </w:tc>
      </w:tr>
      <w:tr w:rsidR="000D0175" w:rsidRPr="008B4FE6" w:rsidTr="00566CBE">
        <w:trPr>
          <w:trHeight w:val="360"/>
        </w:trPr>
        <w:tc>
          <w:tcPr>
            <w:tcW w:w="2720" w:type="dxa"/>
            <w:gridSpan w:val="4"/>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-0,2</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w:t>
            </w:r>
            <w:r>
              <w:rPr>
                <w:rFonts w:ascii="Times New Roman" w:hAnsi="Times New Roman"/>
                <w:sz w:val="21"/>
                <w:szCs w:val="21"/>
              </w:rPr>
              <w:t>1,1</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-1,</w:t>
            </w:r>
            <w:r>
              <w:rPr>
                <w:rFonts w:ascii="Times New Roman" w:hAnsi="Times New Roman"/>
                <w:sz w:val="21"/>
                <w:szCs w:val="21"/>
              </w:rPr>
              <w:t>8</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-2,</w:t>
            </w:r>
            <w:r>
              <w:rPr>
                <w:rFonts w:ascii="Times New Roman" w:hAnsi="Times New Roman"/>
                <w:sz w:val="21"/>
                <w:szCs w:val="21"/>
              </w:rPr>
              <w:t>6</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-3,</w:t>
            </w:r>
            <w:r>
              <w:rPr>
                <w:rFonts w:ascii="Times New Roman" w:hAnsi="Times New Roman"/>
                <w:sz w:val="21"/>
                <w:szCs w:val="21"/>
              </w:rPr>
              <w:t>3</w:t>
            </w:r>
          </w:p>
        </w:tc>
        <w:tc>
          <w:tcPr>
            <w:tcW w:w="912" w:type="dxa"/>
            <w:gridSpan w:val="2"/>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481F21">
              <w:rPr>
                <w:rFonts w:ascii="Times New Roman" w:hAnsi="Times New Roman"/>
                <w:sz w:val="21"/>
              </w:rPr>
              <w:t>-</w:t>
            </w:r>
            <w:r w:rsidRPr="000B78D6">
              <w:rPr>
                <w:rFonts w:ascii="Times New Roman" w:hAnsi="Times New Roman"/>
                <w:sz w:val="21"/>
                <w:szCs w:val="21"/>
              </w:rPr>
              <w:t>2</w:t>
            </w:r>
            <w:r>
              <w:rPr>
                <w:rFonts w:ascii="Times New Roman" w:hAnsi="Times New Roman"/>
                <w:sz w:val="21"/>
                <w:szCs w:val="21"/>
              </w:rPr>
              <w:t>8</w:t>
            </w:r>
            <w:r w:rsidRPr="00481F21">
              <w:rPr>
                <w:rFonts w:ascii="Times New Roman" w:hAnsi="Times New Roman"/>
                <w:sz w:val="21"/>
              </w:rPr>
              <w:t>,8</w:t>
            </w:r>
          </w:p>
        </w:tc>
      </w:tr>
      <w:tr w:rsidR="000D0175" w:rsidRPr="008B4FE6" w:rsidTr="004F42AE">
        <w:trPr>
          <w:trHeight w:val="360"/>
        </w:trPr>
        <w:tc>
          <w:tcPr>
            <w:tcW w:w="2720" w:type="dxa"/>
            <w:gridSpan w:val="4"/>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Pr>
                <w:rFonts w:ascii="Times New Roman" w:hAnsi="Times New Roman"/>
                <w:color w:val="000000"/>
                <w:sz w:val="21"/>
                <w:szCs w:val="21"/>
              </w:rPr>
              <w:t>NFOŚiGW/WFOŚiGW</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-9,5</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-9,5</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-9,5</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-9,5</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-9,5</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-10,0</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-10,0</w:t>
            </w: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-10,0</w:t>
            </w: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912" w:type="dxa"/>
            <w:gridSpan w:val="2"/>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-77,5</w:t>
            </w:r>
          </w:p>
        </w:tc>
      </w:tr>
      <w:tr w:rsidR="000D0175" w:rsidRPr="008B4FE6" w:rsidTr="00566CBE">
        <w:trPr>
          <w:trHeight w:val="357"/>
        </w:trPr>
        <w:tc>
          <w:tcPr>
            <w:tcW w:w="2720" w:type="dxa"/>
            <w:gridSpan w:val="4"/>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sidRPr="00C53F26">
              <w:rPr>
                <w:rFonts w:ascii="Times New Roman" w:hAnsi="Times New Roman"/>
                <w:color w:val="000000"/>
                <w:sz w:val="21"/>
                <w:szCs w:val="21"/>
              </w:rPr>
              <w:t>JST</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10,</w:t>
            </w:r>
            <w:r w:rsidRPr="00481F21">
              <w:rPr>
                <w:rFonts w:ascii="Times New Roman" w:hAnsi="Times New Roman"/>
                <w:sz w:val="21"/>
              </w:rPr>
              <w:t>0</w:t>
            </w: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10,0</w:t>
            </w: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10,0</w:t>
            </w: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10,0</w:t>
            </w: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10,0</w:t>
            </w: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10,0</w:t>
            </w: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10,</w:t>
            </w:r>
            <w:r w:rsidRPr="00481F21">
              <w:rPr>
                <w:rFonts w:ascii="Times New Roman" w:hAnsi="Times New Roman"/>
                <w:sz w:val="21"/>
              </w:rPr>
              <w:t>0</w:t>
            </w:r>
          </w:p>
        </w:tc>
        <w:tc>
          <w:tcPr>
            <w:tcW w:w="665" w:type="dxa"/>
            <w:shd w:val="clear" w:color="auto" w:fill="FFFFFF"/>
          </w:tcPr>
          <w:p w:rsidR="000D0175" w:rsidRPr="00FD31C4"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10,</w:t>
            </w:r>
            <w:r w:rsidRPr="00481F21">
              <w:rPr>
                <w:rFonts w:ascii="Times New Roman" w:hAnsi="Times New Roman"/>
                <w:sz w:val="21"/>
              </w:rPr>
              <w:t>0</w:t>
            </w: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p>
        </w:tc>
        <w:tc>
          <w:tcPr>
            <w:tcW w:w="912" w:type="dxa"/>
            <w:gridSpan w:val="2"/>
            <w:shd w:val="clear" w:color="auto" w:fill="FFFFFF"/>
          </w:tcPr>
          <w:p w:rsidR="000D0175" w:rsidRPr="00D50257" w:rsidRDefault="000D0175" w:rsidP="000D0175">
            <w:pPr>
              <w:pStyle w:val="Bezodstpw"/>
              <w:jc w:val="right"/>
              <w:rPr>
                <w:rFonts w:ascii="Times New Roman" w:hAnsi="Times New Roman"/>
                <w:color w:val="000000"/>
                <w:sz w:val="21"/>
                <w:szCs w:val="21"/>
              </w:rPr>
            </w:pPr>
            <w:r w:rsidRPr="000B78D6">
              <w:rPr>
                <w:rFonts w:ascii="Times New Roman" w:hAnsi="Times New Roman"/>
                <w:sz w:val="21"/>
                <w:szCs w:val="21"/>
              </w:rPr>
              <w:t>80,0</w:t>
            </w:r>
          </w:p>
        </w:tc>
      </w:tr>
      <w:tr w:rsidR="000D0175" w:rsidRPr="008B4FE6" w:rsidTr="00566CBE">
        <w:trPr>
          <w:trHeight w:val="357"/>
        </w:trPr>
        <w:tc>
          <w:tcPr>
            <w:tcW w:w="2720" w:type="dxa"/>
            <w:gridSpan w:val="4"/>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sidRPr="00C53F26">
              <w:rPr>
                <w:rFonts w:ascii="Times New Roman" w:hAnsi="Times New Roman"/>
                <w:color w:val="000000"/>
                <w:sz w:val="21"/>
                <w:szCs w:val="21"/>
              </w:rPr>
              <w:t>pozostałe jednostki (oddzielnie)</w:t>
            </w:r>
          </w:p>
        </w:tc>
        <w:tc>
          <w:tcPr>
            <w:tcW w:w="665" w:type="dxa"/>
            <w:shd w:val="clear" w:color="auto" w:fill="FFFFFF"/>
          </w:tcPr>
          <w:p w:rsidR="000D0175" w:rsidRPr="00D50257"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D66961"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665" w:type="dxa"/>
            <w:shd w:val="clear" w:color="auto" w:fill="FFFFFF"/>
          </w:tcPr>
          <w:p w:rsidR="000D0175" w:rsidRPr="00616486" w:rsidRDefault="000D0175" w:rsidP="000D0175">
            <w:pPr>
              <w:pStyle w:val="Bezodstpw"/>
              <w:jc w:val="right"/>
              <w:rPr>
                <w:rFonts w:ascii="Times New Roman" w:hAnsi="Times New Roman"/>
                <w:color w:val="000000"/>
                <w:sz w:val="21"/>
                <w:szCs w:val="21"/>
              </w:rPr>
            </w:pPr>
          </w:p>
        </w:tc>
        <w:tc>
          <w:tcPr>
            <w:tcW w:w="912" w:type="dxa"/>
            <w:gridSpan w:val="2"/>
            <w:shd w:val="clear" w:color="auto" w:fill="FFFFFF"/>
          </w:tcPr>
          <w:p w:rsidR="000D0175" w:rsidRPr="00616486" w:rsidRDefault="000D0175" w:rsidP="000D0175">
            <w:pPr>
              <w:pStyle w:val="Bezodstpw"/>
              <w:jc w:val="right"/>
              <w:rPr>
                <w:rFonts w:ascii="Times New Roman" w:hAnsi="Times New Roman"/>
                <w:color w:val="000000"/>
                <w:sz w:val="21"/>
                <w:szCs w:val="21"/>
              </w:rPr>
            </w:pPr>
          </w:p>
        </w:tc>
      </w:tr>
      <w:tr w:rsidR="000D0175" w:rsidRPr="008B4FE6" w:rsidTr="00481F21">
        <w:trPr>
          <w:gridAfter w:val="1"/>
          <w:wAfter w:w="9" w:type="dxa"/>
          <w:trHeight w:val="348"/>
        </w:trPr>
        <w:tc>
          <w:tcPr>
            <w:tcW w:w="1956" w:type="dxa"/>
            <w:gridSpan w:val="2"/>
            <w:shd w:val="clear" w:color="auto" w:fill="FFFFFF"/>
            <w:vAlign w:val="center"/>
          </w:tcPr>
          <w:p w:rsidR="000D0175" w:rsidRPr="00C53F26" w:rsidRDefault="000D0175" w:rsidP="000D0175">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982" w:type="dxa"/>
            <w:gridSpan w:val="14"/>
            <w:shd w:val="clear" w:color="auto" w:fill="FFFFFF"/>
            <w:vAlign w:val="center"/>
          </w:tcPr>
          <w:p w:rsidR="000D0175" w:rsidRDefault="000D0175" w:rsidP="000D0175">
            <w:pPr>
              <w:spacing w:line="240" w:lineRule="auto"/>
              <w:jc w:val="both"/>
              <w:rPr>
                <w:rFonts w:ascii="Times New Roman" w:hAnsi="Times New Roman"/>
                <w:color w:val="000000"/>
              </w:rPr>
            </w:pPr>
            <w:r>
              <w:rPr>
                <w:rFonts w:ascii="Times New Roman" w:hAnsi="Times New Roman"/>
                <w:color w:val="000000"/>
              </w:rPr>
              <w:t>CEEB:</w:t>
            </w:r>
          </w:p>
          <w:p w:rsidR="000D0175" w:rsidRDefault="000D0175" w:rsidP="000D0175">
            <w:pPr>
              <w:spacing w:line="240" w:lineRule="auto"/>
              <w:jc w:val="both"/>
              <w:rPr>
                <w:rFonts w:ascii="Times New Roman" w:hAnsi="Times New Roman"/>
                <w:color w:val="000000"/>
              </w:rPr>
            </w:pPr>
            <w:r w:rsidRPr="00A919E1">
              <w:rPr>
                <w:rFonts w:ascii="Times New Roman" w:hAnsi="Times New Roman"/>
                <w:color w:val="000000"/>
              </w:rPr>
              <w:t xml:space="preserve">Co do zasady wydatki wynikające z projektowanych przepisów finansowane będą z </w:t>
            </w:r>
            <w:r>
              <w:rPr>
                <w:rFonts w:ascii="Times New Roman" w:hAnsi="Times New Roman"/>
                <w:color w:val="000000"/>
              </w:rPr>
              <w:t>POPC</w:t>
            </w:r>
            <w:r w:rsidRPr="00A919E1">
              <w:rPr>
                <w:rFonts w:ascii="Times New Roman" w:hAnsi="Times New Roman"/>
                <w:color w:val="000000"/>
              </w:rPr>
              <w:t xml:space="preserve"> w ramach środków unijnych Europejskich Funduszy Strukturalnych dystrybuowanych przez Centrum Projektów Polska Cyfrowa, z uwzględnieniem wkładu własnego pochodzącego ze środków budżetu </w:t>
            </w:r>
            <w:r>
              <w:rPr>
                <w:rFonts w:ascii="Times New Roman" w:hAnsi="Times New Roman"/>
                <w:color w:val="000000"/>
              </w:rPr>
              <w:t>p</w:t>
            </w:r>
            <w:r w:rsidRPr="00A919E1">
              <w:rPr>
                <w:rFonts w:ascii="Times New Roman" w:hAnsi="Times New Roman"/>
                <w:color w:val="000000"/>
              </w:rPr>
              <w:t>aństwa.</w:t>
            </w:r>
            <w:r>
              <w:rPr>
                <w:rFonts w:ascii="Times New Roman" w:hAnsi="Times New Roman"/>
                <w:color w:val="000000"/>
              </w:rPr>
              <w:t xml:space="preserve"> </w:t>
            </w:r>
            <w:r w:rsidRPr="00A919E1">
              <w:rPr>
                <w:rFonts w:ascii="Times New Roman" w:hAnsi="Times New Roman"/>
                <w:color w:val="000000"/>
              </w:rPr>
              <w:t xml:space="preserve">Okres trwania projektu </w:t>
            </w:r>
            <w:r>
              <w:rPr>
                <w:rFonts w:ascii="Times New Roman" w:hAnsi="Times New Roman"/>
                <w:color w:val="000000"/>
              </w:rPr>
              <w:t xml:space="preserve">(budowa systemu informatycznego) </w:t>
            </w:r>
            <w:r w:rsidRPr="00A919E1">
              <w:rPr>
                <w:rFonts w:ascii="Times New Roman" w:hAnsi="Times New Roman"/>
                <w:color w:val="000000"/>
              </w:rPr>
              <w:t>planowany jest na lata 2020-2023. Koszt całego p</w:t>
            </w:r>
            <w:r>
              <w:rPr>
                <w:rFonts w:ascii="Times New Roman" w:hAnsi="Times New Roman"/>
                <w:color w:val="000000"/>
              </w:rPr>
              <w:t>rojektu szacowany jest na ok. 30.985.923,57</w:t>
            </w:r>
            <w:r w:rsidRPr="00A919E1">
              <w:rPr>
                <w:rFonts w:ascii="Times New Roman" w:hAnsi="Times New Roman"/>
                <w:color w:val="000000"/>
              </w:rPr>
              <w:t xml:space="preserve"> złotych i zostanie sfinansowany z funduszy UE</w:t>
            </w:r>
            <w:r>
              <w:rPr>
                <w:rFonts w:ascii="Times New Roman" w:hAnsi="Times New Roman"/>
                <w:color w:val="000000"/>
              </w:rPr>
              <w:t xml:space="preserve"> w kwocie ok. 26.223.387,12</w:t>
            </w:r>
            <w:r w:rsidRPr="00A919E1">
              <w:rPr>
                <w:rFonts w:ascii="Times New Roman" w:hAnsi="Times New Roman"/>
                <w:color w:val="000000"/>
              </w:rPr>
              <w:t xml:space="preserve"> zł –</w:t>
            </w:r>
            <w:r>
              <w:rPr>
                <w:rFonts w:ascii="Times New Roman" w:hAnsi="Times New Roman"/>
                <w:color w:val="000000"/>
              </w:rPr>
              <w:t xml:space="preserve"> finansowanie na poziomie 84,63%. </w:t>
            </w:r>
            <w:r w:rsidRPr="00A919E1">
              <w:rPr>
                <w:rFonts w:ascii="Times New Roman" w:hAnsi="Times New Roman"/>
                <w:color w:val="000000"/>
              </w:rPr>
              <w:t>Pozost</w:t>
            </w:r>
            <w:r>
              <w:rPr>
                <w:rFonts w:ascii="Times New Roman" w:hAnsi="Times New Roman"/>
                <w:color w:val="000000"/>
              </w:rPr>
              <w:t>ała część kosztów w kwocie ok. 4.762.536,45 zł</w:t>
            </w:r>
            <w:r w:rsidRPr="00A919E1">
              <w:rPr>
                <w:rFonts w:ascii="Times New Roman" w:hAnsi="Times New Roman"/>
                <w:color w:val="000000"/>
              </w:rPr>
              <w:t xml:space="preserve"> zostanie sfinansowana ze środków budżetu Państwa w ramach wkładu własnego ministra właściwego do spraw </w:t>
            </w:r>
            <w:r w:rsidRPr="00E05EA4">
              <w:rPr>
                <w:rFonts w:ascii="Times New Roman" w:hAnsi="Times New Roman"/>
                <w:color w:val="000000"/>
                <w:spacing w:val="-2"/>
              </w:rPr>
              <w:t>budownictwa, planowania i zagospodarowania przestrzennego oraz mieszkalnictwa</w:t>
            </w:r>
            <w:r w:rsidRPr="00A919E1">
              <w:rPr>
                <w:rFonts w:ascii="Times New Roman" w:hAnsi="Times New Roman"/>
                <w:color w:val="000000"/>
              </w:rPr>
              <w:t xml:space="preserve"> w realizację projektu POPC (lata 0-3 w tabeli)</w:t>
            </w:r>
            <w:r>
              <w:rPr>
                <w:rFonts w:ascii="Times New Roman" w:hAnsi="Times New Roman"/>
                <w:color w:val="000000"/>
              </w:rPr>
              <w:t xml:space="preserve">, w ramach części 18 budżetu – budownictwo: </w:t>
            </w:r>
            <w:r w:rsidRPr="00F84869">
              <w:rPr>
                <w:rFonts w:ascii="Times New Roman" w:hAnsi="Times New Roman"/>
                <w:bCs/>
              </w:rPr>
              <w:t>w roku 2020 - w kwocie 0,2 mln zł (rezerwa celowa), w roku 2021 - w kwocie 0,8 mln zł, w roku 2022 - w kwocie 1,5 mln zł, w roku 2023 - w kwocie 2,3 mln zł</w:t>
            </w:r>
            <w:r w:rsidRPr="00F84869">
              <w:rPr>
                <w:rFonts w:ascii="Times New Roman" w:hAnsi="Times New Roman"/>
              </w:rPr>
              <w:t>. </w:t>
            </w:r>
            <w:r w:rsidRPr="00A919E1">
              <w:rPr>
                <w:rFonts w:ascii="Times New Roman" w:hAnsi="Times New Roman"/>
                <w:color w:val="000000"/>
              </w:rPr>
              <w:t xml:space="preserve">. </w:t>
            </w:r>
            <w:r>
              <w:rPr>
                <w:rFonts w:ascii="Times New Roman" w:hAnsi="Times New Roman"/>
                <w:color w:val="000000"/>
              </w:rPr>
              <w:t>Realizacja budowy systemu IT zostanie powierzona Głównemu Urzędowi Nadzoru Budowlanego.</w:t>
            </w:r>
            <w:r w:rsidRPr="00A919E1">
              <w:rPr>
                <w:rFonts w:ascii="Times New Roman" w:hAnsi="Times New Roman"/>
                <w:color w:val="000000"/>
              </w:rPr>
              <w:t xml:space="preserve">). </w:t>
            </w:r>
            <w:r>
              <w:rPr>
                <w:rFonts w:ascii="Times New Roman" w:hAnsi="Times New Roman"/>
                <w:color w:val="000000"/>
              </w:rPr>
              <w:t>Natomiast o</w:t>
            </w:r>
            <w:r w:rsidRPr="00A919E1">
              <w:rPr>
                <w:rFonts w:ascii="Times New Roman" w:hAnsi="Times New Roman"/>
                <w:color w:val="000000"/>
              </w:rPr>
              <w:t xml:space="preserve">d 2024 r. koszty </w:t>
            </w:r>
            <w:r w:rsidRPr="00A919E1">
              <w:rPr>
                <w:rFonts w:ascii="Times New Roman" w:hAnsi="Times New Roman"/>
                <w:color w:val="000000"/>
              </w:rPr>
              <w:lastRenderedPageBreak/>
              <w:t xml:space="preserve">utrzymania, rozwoju i funkcjonowania systemu informatycznego ponosić będzie minister właściwy do spraw </w:t>
            </w:r>
            <w:r w:rsidRPr="00E05EA4">
              <w:rPr>
                <w:rFonts w:ascii="Times New Roman" w:hAnsi="Times New Roman"/>
                <w:color w:val="000000"/>
                <w:spacing w:val="-2"/>
              </w:rPr>
              <w:t>budownictwa, planowania i zagospodarowania przestrzennego oraz mieszkalnictw</w:t>
            </w:r>
            <w:r>
              <w:rPr>
                <w:rFonts w:ascii="Times New Roman" w:hAnsi="Times New Roman"/>
                <w:color w:val="000000"/>
              </w:rPr>
              <w:t>a</w:t>
            </w:r>
            <w:r w:rsidRPr="00A919E1">
              <w:rPr>
                <w:rFonts w:ascii="Times New Roman" w:hAnsi="Times New Roman"/>
                <w:color w:val="000000"/>
              </w:rPr>
              <w:t xml:space="preserve"> ze środków bu</w:t>
            </w:r>
            <w:r>
              <w:rPr>
                <w:rFonts w:ascii="Times New Roman" w:hAnsi="Times New Roman"/>
                <w:color w:val="000000"/>
              </w:rPr>
              <w:t xml:space="preserve">dżetu państwa w kwocie ok. 3 mln zł rocznie. </w:t>
            </w:r>
            <w:r w:rsidRPr="00A919E1">
              <w:rPr>
                <w:rFonts w:ascii="Times New Roman" w:hAnsi="Times New Roman"/>
                <w:color w:val="000000"/>
              </w:rPr>
              <w:t xml:space="preserve">Zakładane rodzaje wydatków jakie będą pokrywane z projektu </w:t>
            </w:r>
            <w:r>
              <w:rPr>
                <w:rFonts w:ascii="Times New Roman" w:hAnsi="Times New Roman"/>
                <w:color w:val="000000"/>
              </w:rPr>
              <w:t xml:space="preserve">POPC </w:t>
            </w:r>
            <w:r w:rsidRPr="00A919E1">
              <w:rPr>
                <w:rFonts w:ascii="Times New Roman" w:hAnsi="Times New Roman"/>
                <w:color w:val="000000"/>
              </w:rPr>
              <w:t>to m.in. budowa systemu centralnego, utworzenie aplikacji dostępowych, budowa e-usług, oprogramowanie, zakup infrastruktury sprzętowej, szkolenia oraz działania inf</w:t>
            </w:r>
            <w:r>
              <w:rPr>
                <w:rFonts w:ascii="Times New Roman" w:hAnsi="Times New Roman"/>
                <w:color w:val="000000"/>
              </w:rPr>
              <w:t xml:space="preserve">ormacyjno </w:t>
            </w:r>
            <w:r w:rsidRPr="00A919E1">
              <w:rPr>
                <w:rFonts w:ascii="Times New Roman" w:hAnsi="Times New Roman"/>
                <w:color w:val="000000"/>
              </w:rPr>
              <w:t xml:space="preserve">– promocyjne. </w:t>
            </w:r>
            <w:r w:rsidRPr="00C33558">
              <w:rPr>
                <w:rFonts w:ascii="Times New Roman" w:hAnsi="Times New Roman"/>
                <w:color w:val="000000"/>
              </w:rPr>
              <w:t xml:space="preserve">Nadmienić należy, że to wstępna kalkulacja potrzeb budowy systemu informatycznego, która zostanie szczegółowo doprecyzowana na etapie </w:t>
            </w:r>
            <w:r>
              <w:rPr>
                <w:rFonts w:ascii="Times New Roman" w:hAnsi="Times New Roman"/>
                <w:color w:val="000000"/>
              </w:rPr>
              <w:t xml:space="preserve">weryfikacji </w:t>
            </w:r>
            <w:r w:rsidRPr="00C33558">
              <w:rPr>
                <w:rFonts w:ascii="Times New Roman" w:hAnsi="Times New Roman"/>
                <w:color w:val="000000"/>
              </w:rPr>
              <w:t>wniosku o dofinansowanie w ramach POPC.</w:t>
            </w:r>
          </w:p>
          <w:p w:rsidR="000D0175" w:rsidRDefault="000D0175" w:rsidP="000D0175">
            <w:pPr>
              <w:spacing w:line="240" w:lineRule="auto"/>
              <w:jc w:val="both"/>
              <w:rPr>
                <w:rFonts w:ascii="Times New Roman" w:hAnsi="Times New Roman"/>
                <w:color w:val="000000"/>
              </w:rPr>
            </w:pPr>
            <w:r>
              <w:rPr>
                <w:rFonts w:ascii="Times New Roman" w:hAnsi="Times New Roman"/>
                <w:color w:val="000000"/>
              </w:rPr>
              <w:t>W</w:t>
            </w:r>
            <w:r w:rsidRPr="00D72C5D">
              <w:rPr>
                <w:rFonts w:ascii="Times New Roman" w:hAnsi="Times New Roman"/>
                <w:color w:val="000000"/>
              </w:rPr>
              <w:t xml:space="preserve"> ramach projektu </w:t>
            </w:r>
            <w:r>
              <w:rPr>
                <w:rFonts w:ascii="Times New Roman" w:hAnsi="Times New Roman"/>
                <w:color w:val="000000"/>
              </w:rPr>
              <w:t>POPC zostanie zakupionych 3</w:t>
            </w:r>
            <w:r w:rsidRPr="00D72C5D">
              <w:rPr>
                <w:rFonts w:ascii="Times New Roman" w:hAnsi="Times New Roman"/>
                <w:color w:val="000000"/>
              </w:rPr>
              <w:t>500 tabletów LTE, przenośnych urządzeń przeznaczonych do obsługi procesu inwentaryzacji prowadzonej w budynkach przy wykorzystaniu specjalnie zaprojektowanej aplikacji mobilnej umożliwiającej połączenie się z C</w:t>
            </w:r>
            <w:r>
              <w:rPr>
                <w:rFonts w:ascii="Times New Roman" w:hAnsi="Times New Roman"/>
                <w:color w:val="000000"/>
              </w:rPr>
              <w:t>E</w:t>
            </w:r>
            <w:r w:rsidRPr="00D72C5D">
              <w:rPr>
                <w:rFonts w:ascii="Times New Roman" w:hAnsi="Times New Roman"/>
                <w:color w:val="000000"/>
              </w:rPr>
              <w:t>EB za pomocą</w:t>
            </w:r>
            <w:r>
              <w:rPr>
                <w:rFonts w:ascii="Times New Roman" w:hAnsi="Times New Roman"/>
                <w:color w:val="000000"/>
              </w:rPr>
              <w:t xml:space="preserve"> sieci GSM. </w:t>
            </w:r>
            <w:r w:rsidRPr="00D72C5D">
              <w:rPr>
                <w:rFonts w:ascii="Times New Roman" w:hAnsi="Times New Roman"/>
                <w:color w:val="000000"/>
              </w:rPr>
              <w:t>W okresie eksploatacji tablety</w:t>
            </w:r>
            <w:r>
              <w:rPr>
                <w:rFonts w:ascii="Times New Roman" w:hAnsi="Times New Roman"/>
                <w:color w:val="000000"/>
              </w:rPr>
              <w:t xml:space="preserve"> zostaną przekazane </w:t>
            </w:r>
            <w:r w:rsidRPr="00D72C5D">
              <w:rPr>
                <w:rFonts w:ascii="Times New Roman" w:hAnsi="Times New Roman"/>
                <w:color w:val="000000"/>
              </w:rPr>
              <w:t>gmin</w:t>
            </w:r>
            <w:r>
              <w:rPr>
                <w:rFonts w:ascii="Times New Roman" w:hAnsi="Times New Roman"/>
                <w:color w:val="000000"/>
              </w:rPr>
              <w:t>om (</w:t>
            </w:r>
            <w:r w:rsidRPr="00D72C5D">
              <w:rPr>
                <w:rFonts w:ascii="Times New Roman" w:hAnsi="Times New Roman"/>
                <w:color w:val="000000"/>
              </w:rPr>
              <w:t>strażnikom gminnym i miejskim</w:t>
            </w:r>
            <w:r>
              <w:rPr>
                <w:rFonts w:ascii="Times New Roman" w:hAnsi="Times New Roman"/>
                <w:color w:val="000000"/>
              </w:rPr>
              <w:t>) oraz organom</w:t>
            </w:r>
            <w:r w:rsidRPr="00D72C5D">
              <w:rPr>
                <w:rFonts w:ascii="Times New Roman" w:hAnsi="Times New Roman"/>
                <w:color w:val="000000"/>
              </w:rPr>
              <w:t xml:space="preserve"> Inspekcji Ochrony Środowiska, jako uprawnionym do przeprowadzania inwentaryzacji budynków.</w:t>
            </w:r>
            <w:r>
              <w:t xml:space="preserve"> </w:t>
            </w:r>
            <w:r w:rsidRPr="00AA6722">
              <w:rPr>
                <w:rFonts w:ascii="Times New Roman" w:hAnsi="Times New Roman"/>
                <w:color w:val="000000"/>
              </w:rPr>
              <w:t>Złożenie wniosku o wpis do wykazu osób uprawnionych zwolnione jest od wszelkich opłat. Szczegółowe informacje dotyczące finansowania projektu informatycznego w ramach POPC dostępne są na stronie: https://www.gov.pl/web/krmc/ministerstwo-przedsiebiorczosci-i-technologii16</w:t>
            </w:r>
          </w:p>
          <w:p w:rsidR="000D0175" w:rsidRDefault="000D0175" w:rsidP="000D0175">
            <w:pPr>
              <w:spacing w:line="240" w:lineRule="auto"/>
              <w:jc w:val="both"/>
              <w:rPr>
                <w:rFonts w:ascii="Times New Roman" w:hAnsi="Times New Roman"/>
                <w:color w:val="000000"/>
              </w:rPr>
            </w:pPr>
          </w:p>
          <w:p w:rsidR="000D0175" w:rsidRDefault="000D0175" w:rsidP="000D0175">
            <w:pPr>
              <w:spacing w:line="240" w:lineRule="auto"/>
              <w:jc w:val="both"/>
              <w:rPr>
                <w:rFonts w:ascii="Times New Roman" w:hAnsi="Times New Roman"/>
                <w:color w:val="000000"/>
              </w:rPr>
            </w:pPr>
            <w:r>
              <w:rPr>
                <w:rFonts w:ascii="Times New Roman" w:hAnsi="Times New Roman"/>
                <w:color w:val="000000"/>
              </w:rPr>
              <w:t>Rządowy program priorytetowy „Czyste Powietrze”:</w:t>
            </w:r>
          </w:p>
          <w:p w:rsidR="000D0175" w:rsidRDefault="000D0175" w:rsidP="000D0175">
            <w:pPr>
              <w:spacing w:line="240" w:lineRule="auto"/>
              <w:jc w:val="both"/>
              <w:rPr>
                <w:rFonts w:ascii="Times New Roman" w:hAnsi="Times New Roman"/>
                <w:color w:val="000000"/>
              </w:rPr>
            </w:pPr>
            <w:r w:rsidRPr="004E56F5">
              <w:rPr>
                <w:rFonts w:ascii="Times New Roman" w:hAnsi="Times New Roman"/>
                <w:color w:val="000000"/>
              </w:rPr>
              <w:t xml:space="preserve">Szacuje się, że w ramach współpracy, gminy podejmą działania przy 100 000 wniosków rocznie, a koszty jakie poniosą przy tych zadaniach w przeliczeniu na jeden wniosek, to 100 zł. Szacunki te wynikają z dotychczasowego wdrażania programu „Czyste Powietrze” oraz współpracy z gminami w tym zakresie, a także zmianami w programie, które mają na celu zwiększenie skali wdrażania programu. </w:t>
            </w:r>
            <w:r>
              <w:rPr>
                <w:rFonts w:ascii="Times New Roman" w:hAnsi="Times New Roman"/>
                <w:color w:val="000000"/>
              </w:rPr>
              <w:t xml:space="preserve">NFOŚiGW </w:t>
            </w:r>
            <w:r w:rsidRPr="00A669B9">
              <w:rPr>
                <w:rFonts w:ascii="Times New Roman" w:hAnsi="Times New Roman"/>
                <w:color w:val="000000"/>
              </w:rPr>
              <w:t xml:space="preserve">pokryje koszty gmin w </w:t>
            </w:r>
            <w:r>
              <w:rPr>
                <w:rFonts w:ascii="Times New Roman" w:hAnsi="Times New Roman"/>
                <w:color w:val="000000"/>
              </w:rPr>
              <w:t xml:space="preserve">szacowanej </w:t>
            </w:r>
            <w:r w:rsidRPr="00A669B9">
              <w:rPr>
                <w:rFonts w:ascii="Times New Roman" w:hAnsi="Times New Roman"/>
                <w:color w:val="000000"/>
              </w:rPr>
              <w:t xml:space="preserve">kwocie </w:t>
            </w:r>
            <w:r>
              <w:rPr>
                <w:rFonts w:ascii="Times New Roman" w:hAnsi="Times New Roman"/>
                <w:color w:val="000000"/>
              </w:rPr>
              <w:t xml:space="preserve">około </w:t>
            </w:r>
            <w:r w:rsidRPr="00A669B9">
              <w:rPr>
                <w:rFonts w:ascii="Times New Roman" w:hAnsi="Times New Roman"/>
                <w:color w:val="000000"/>
              </w:rPr>
              <w:t>10 </w:t>
            </w:r>
            <w:r>
              <w:rPr>
                <w:rFonts w:ascii="Times New Roman" w:hAnsi="Times New Roman"/>
                <w:color w:val="000000"/>
              </w:rPr>
              <w:t xml:space="preserve">mln </w:t>
            </w:r>
            <w:r w:rsidRPr="00A669B9">
              <w:rPr>
                <w:rFonts w:ascii="Times New Roman" w:hAnsi="Times New Roman"/>
                <w:color w:val="000000"/>
              </w:rPr>
              <w:t>zł rocznie</w:t>
            </w:r>
            <w:r>
              <w:rPr>
                <w:rFonts w:ascii="Times New Roman" w:hAnsi="Times New Roman"/>
                <w:color w:val="000000"/>
              </w:rPr>
              <w:t xml:space="preserve"> </w:t>
            </w:r>
            <w:r w:rsidRPr="00754F01">
              <w:rPr>
                <w:rFonts w:ascii="Times New Roman" w:hAnsi="Times New Roman"/>
                <w:color w:val="000000"/>
              </w:rPr>
              <w:t>przez okres 8 lat (wnioski w ramach programu można składać do 30.06.2027 r.).</w:t>
            </w:r>
            <w:r>
              <w:rPr>
                <w:rFonts w:ascii="Times New Roman" w:hAnsi="Times New Roman"/>
                <w:color w:val="000000"/>
              </w:rPr>
              <w:t xml:space="preserve"> Źródłem finansowania będą środki zobowiązania wieloletniego „przeciwdziałanie emisjom”, pochodzące z wpływów z opłaty emisyjnej. </w:t>
            </w:r>
          </w:p>
          <w:p w:rsidR="000D0175" w:rsidRDefault="000D0175" w:rsidP="000D0175">
            <w:pPr>
              <w:spacing w:line="240" w:lineRule="auto"/>
              <w:jc w:val="both"/>
              <w:rPr>
                <w:rFonts w:ascii="Times New Roman" w:hAnsi="Times New Roman"/>
                <w:color w:val="000000"/>
              </w:rPr>
            </w:pPr>
          </w:p>
          <w:p w:rsidR="000D0175" w:rsidRDefault="000D0175" w:rsidP="000D0175">
            <w:pPr>
              <w:spacing w:line="240" w:lineRule="auto"/>
              <w:jc w:val="both"/>
              <w:rPr>
                <w:rFonts w:ascii="Times New Roman" w:hAnsi="Times New Roman"/>
                <w:color w:val="000000"/>
              </w:rPr>
            </w:pPr>
            <w:r>
              <w:rPr>
                <w:rFonts w:ascii="Times New Roman" w:hAnsi="Times New Roman"/>
                <w:color w:val="000000"/>
              </w:rPr>
              <w:t>Program „Stop Smog”</w:t>
            </w:r>
          </w:p>
          <w:p w:rsidR="000D0175" w:rsidRPr="00AC6672" w:rsidRDefault="000D0175" w:rsidP="000D0175">
            <w:pPr>
              <w:spacing w:line="240" w:lineRule="auto"/>
              <w:jc w:val="both"/>
              <w:rPr>
                <w:rFonts w:ascii="Times New Roman" w:hAnsi="Times New Roman"/>
                <w:color w:val="000000"/>
                <w:sz w:val="21"/>
                <w:szCs w:val="21"/>
              </w:rPr>
            </w:pPr>
            <w:r w:rsidRPr="00AC6672">
              <w:rPr>
                <w:rFonts w:ascii="Times New Roman" w:hAnsi="Times New Roman"/>
                <w:color w:val="000000"/>
                <w:sz w:val="21"/>
                <w:szCs w:val="21"/>
              </w:rPr>
              <w:t>Koszty zostały oszacowane na kwotę 0,5 mln zł rocznie, na podstawie analizy przejmowanych zadań Stop</w:t>
            </w:r>
            <w:r>
              <w:rPr>
                <w:rFonts w:ascii="Times New Roman" w:hAnsi="Times New Roman"/>
                <w:color w:val="000000"/>
                <w:sz w:val="21"/>
                <w:szCs w:val="21"/>
              </w:rPr>
              <w:t xml:space="preserve"> </w:t>
            </w:r>
            <w:r w:rsidRPr="00AC6672">
              <w:rPr>
                <w:rFonts w:ascii="Times New Roman" w:hAnsi="Times New Roman"/>
                <w:color w:val="000000"/>
                <w:sz w:val="21"/>
                <w:szCs w:val="21"/>
              </w:rPr>
              <w:t>Smog i ich skali oraz kosztów obsługi podobnych programów NFOŚiGW. Należy jednak pamiętać, że wraz z zakładanym intensywnym rozwojem Stop</w:t>
            </w:r>
            <w:r>
              <w:rPr>
                <w:rFonts w:ascii="Times New Roman" w:hAnsi="Times New Roman"/>
                <w:color w:val="000000"/>
                <w:sz w:val="21"/>
                <w:szCs w:val="21"/>
              </w:rPr>
              <w:t xml:space="preserve"> </w:t>
            </w:r>
            <w:r w:rsidRPr="00AC6672">
              <w:rPr>
                <w:rFonts w:ascii="Times New Roman" w:hAnsi="Times New Roman"/>
                <w:color w:val="000000"/>
                <w:sz w:val="21"/>
                <w:szCs w:val="21"/>
              </w:rPr>
              <w:t xml:space="preserve">Smog zmianie ulegnie liczba zadań realizowanych przez NFOŚiGW oraz ich zakres, co spowoduje w przyszłości wzrost kosztów realizowanych zadań. Sposób pokrywania tych kosztów zostanie określony w porozumieniu zawartym pomiędzy NFOŚiGW, Ministrem Klimatu oraz Bankiem Gospodarstwa Krajowego. </w:t>
            </w:r>
          </w:p>
          <w:p w:rsidR="000D0175" w:rsidRPr="00AC6672" w:rsidRDefault="000D0175" w:rsidP="000D0175">
            <w:pPr>
              <w:spacing w:line="240" w:lineRule="auto"/>
              <w:jc w:val="both"/>
              <w:rPr>
                <w:rFonts w:ascii="Times New Roman" w:hAnsi="Times New Roman"/>
                <w:color w:val="000000"/>
                <w:sz w:val="21"/>
                <w:szCs w:val="21"/>
              </w:rPr>
            </w:pPr>
            <w:r w:rsidRPr="00AC6672">
              <w:rPr>
                <w:rFonts w:ascii="Times New Roman" w:hAnsi="Times New Roman"/>
                <w:color w:val="000000"/>
                <w:sz w:val="21"/>
                <w:szCs w:val="21"/>
              </w:rPr>
              <w:t>W art. 9 ustawy z dnia 6 grudnia 2018 r. o zmianie ustawy o wspieraniu termomodernizacji i remontów oraz niektórych innych ustaw, a więc w ustawie wprowadzającej Stop</w:t>
            </w:r>
            <w:r>
              <w:rPr>
                <w:rFonts w:ascii="Times New Roman" w:hAnsi="Times New Roman"/>
                <w:color w:val="000000"/>
                <w:sz w:val="21"/>
                <w:szCs w:val="21"/>
              </w:rPr>
              <w:t xml:space="preserve"> </w:t>
            </w:r>
            <w:r w:rsidRPr="00AC6672">
              <w:rPr>
                <w:rFonts w:ascii="Times New Roman" w:hAnsi="Times New Roman"/>
                <w:color w:val="000000"/>
                <w:sz w:val="21"/>
                <w:szCs w:val="21"/>
              </w:rPr>
              <w:t>Smog określono maksymalny limit wydatków z budżetu państwa przeznaczonych na wykonywanie zadań ministra właściwego do spraw gospodarki wynikających z tej ustawy i określono go na 0,5 mln zł rocznie. Mając to na uwadze należy uznać, że w tym zakresie zmiana jest neutralna dla finansów publicznych.</w:t>
            </w:r>
          </w:p>
          <w:p w:rsidR="000D0175" w:rsidRPr="00A919E1" w:rsidRDefault="000D0175" w:rsidP="000D0175">
            <w:pPr>
              <w:spacing w:line="240" w:lineRule="auto"/>
              <w:jc w:val="both"/>
              <w:rPr>
                <w:rFonts w:ascii="Times New Roman" w:hAnsi="Times New Roman"/>
                <w:color w:val="000000"/>
              </w:rPr>
            </w:pPr>
            <w:r w:rsidRPr="00513D9B">
              <w:rPr>
                <w:rFonts w:ascii="Times New Roman" w:hAnsi="Times New Roman"/>
                <w:color w:val="000000"/>
                <w:sz w:val="21"/>
                <w:szCs w:val="21"/>
              </w:rPr>
              <w:t xml:space="preserve">Budżet państwa – rezerwa celowa w wysokości 0,3 mln zł rocznie z przeznaczeniem w części na wynagrodzenia pracowników realizujących zadania związane z obsługą gmin, z którymi zostaną  zawarte  porozumienia  na  realizację  przedsięwzięć  niskoemisyjnych,  w  łącznej wysokości 2,7 mln zł. Środki te zostały zabezpieczone w ustawie nowelizującej ustawę z dnia 21 listopada 2008 r. o wspieraniu termomodernizacji i remontów (Dz. U. z 2020 poz. 22, z późn. zm.). Przeniesienie zadań na ministra właściwego do spraw klimatu spowoduje przeniesienie środków z części budżetowej 18 na część </w:t>
            </w:r>
            <w:r>
              <w:rPr>
                <w:rFonts w:ascii="Times New Roman" w:hAnsi="Times New Roman"/>
                <w:color w:val="000000"/>
                <w:sz w:val="21"/>
                <w:szCs w:val="21"/>
              </w:rPr>
              <w:t>51</w:t>
            </w:r>
            <w:r w:rsidRPr="00513D9B">
              <w:rPr>
                <w:rFonts w:ascii="Times New Roman" w:hAnsi="Times New Roman"/>
                <w:color w:val="000000"/>
                <w:sz w:val="21"/>
                <w:szCs w:val="21"/>
              </w:rPr>
              <w:t>.</w:t>
            </w:r>
          </w:p>
        </w:tc>
      </w:tr>
      <w:tr w:rsidR="000D0175" w:rsidRPr="008B4FE6" w:rsidTr="00481F21">
        <w:trPr>
          <w:gridAfter w:val="1"/>
          <w:wAfter w:w="9" w:type="dxa"/>
          <w:trHeight w:val="1926"/>
        </w:trPr>
        <w:tc>
          <w:tcPr>
            <w:tcW w:w="1956" w:type="dxa"/>
            <w:gridSpan w:val="2"/>
            <w:shd w:val="clear" w:color="auto" w:fill="FFFFFF"/>
          </w:tcPr>
          <w:p w:rsidR="000D0175" w:rsidRPr="00C53F26" w:rsidRDefault="000D0175" w:rsidP="000D0175">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Dodatkowe informacje, w tym wskazanie źródeł danych i przyjętych do obliczeń założeń</w:t>
            </w:r>
          </w:p>
        </w:tc>
        <w:tc>
          <w:tcPr>
            <w:tcW w:w="8982" w:type="dxa"/>
            <w:gridSpan w:val="14"/>
            <w:shd w:val="clear" w:color="auto" w:fill="FFFFFF"/>
          </w:tcPr>
          <w:p w:rsidR="000D0175" w:rsidRPr="00A919E1" w:rsidRDefault="000D0175" w:rsidP="000D0175">
            <w:pPr>
              <w:spacing w:line="240" w:lineRule="auto"/>
              <w:jc w:val="both"/>
              <w:rPr>
                <w:rFonts w:ascii="Times New Roman" w:hAnsi="Times New Roman"/>
                <w:color w:val="000000"/>
              </w:rPr>
            </w:pPr>
            <w:r w:rsidRPr="00A919E1">
              <w:rPr>
                <w:rFonts w:ascii="Times New Roman" w:hAnsi="Times New Roman"/>
                <w:color w:val="000000"/>
              </w:rPr>
              <w:t>Projekt nie będzie za sobą pociągał środków na dodatkowe etaty dla niektórych służb publicznych np. na zadania kontrolne i inne zwiększone obowiązki w związku z tym, iż obowiązek inwentaryzacji budynków będzie przypisany do aktualnych obowiązków realizowanych w tych podmiotach.</w:t>
            </w:r>
            <w:r>
              <w:t xml:space="preserve"> </w:t>
            </w:r>
          </w:p>
          <w:p w:rsidR="000D0175" w:rsidRPr="009E518B" w:rsidRDefault="000D0175" w:rsidP="000D0175">
            <w:pPr>
              <w:spacing w:line="240" w:lineRule="auto"/>
              <w:jc w:val="both"/>
              <w:rPr>
                <w:rFonts w:ascii="Times New Roman" w:hAnsi="Times New Roman"/>
                <w:color w:val="000000"/>
              </w:rPr>
            </w:pPr>
            <w:r w:rsidRPr="009E518B">
              <w:rPr>
                <w:rFonts w:ascii="Times New Roman" w:hAnsi="Times New Roman"/>
                <w:color w:val="000000"/>
                <w:spacing w:val="-2"/>
              </w:rPr>
              <w:t xml:space="preserve">W zakresie Programu </w:t>
            </w:r>
            <w:r>
              <w:rPr>
                <w:rFonts w:ascii="Times New Roman" w:hAnsi="Times New Roman"/>
                <w:color w:val="000000"/>
                <w:spacing w:val="-2"/>
              </w:rPr>
              <w:t>:</w:t>
            </w:r>
            <w:r w:rsidRPr="009E518B">
              <w:rPr>
                <w:rFonts w:ascii="Times New Roman" w:hAnsi="Times New Roman"/>
                <w:color w:val="000000"/>
                <w:spacing w:val="-2"/>
              </w:rPr>
              <w:t>Stop Smog</w:t>
            </w:r>
            <w:r>
              <w:rPr>
                <w:rFonts w:ascii="Times New Roman" w:hAnsi="Times New Roman"/>
                <w:color w:val="000000"/>
                <w:spacing w:val="-2"/>
              </w:rPr>
              <w:t>”</w:t>
            </w:r>
            <w:r>
              <w:rPr>
                <w:rFonts w:ascii="Times New Roman" w:hAnsi="Times New Roman"/>
                <w:color w:val="000000"/>
                <w:sz w:val="21"/>
                <w:szCs w:val="21"/>
              </w:rPr>
              <w:t xml:space="preserve"> koszty koniecznych  działań  po  stronie  administracji  rządowej  do  obsługi  procedur związanych z obsługą regulacji (w tym m.in. weryfikacją wniosków o podpisanie porozumienia w sprawie dofinansowania, opracowanie porozumień, nadzór i monitoring ich</w:t>
            </w:r>
            <w:r w:rsidRPr="00481F21">
              <w:rPr>
                <w:rFonts w:ascii="Times New Roman" w:hAnsi="Times New Roman"/>
                <w:color w:val="000000"/>
                <w:sz w:val="21"/>
              </w:rPr>
              <w:t xml:space="preserve"> realizacji</w:t>
            </w:r>
            <w:r>
              <w:rPr>
                <w:rFonts w:ascii="Times New Roman" w:hAnsi="Times New Roman"/>
                <w:color w:val="000000"/>
                <w:sz w:val="21"/>
                <w:szCs w:val="21"/>
              </w:rPr>
              <w:t>, dokonywanie</w:t>
            </w:r>
            <w:r w:rsidRPr="00481F21">
              <w:rPr>
                <w:rFonts w:ascii="Times New Roman" w:hAnsi="Times New Roman"/>
                <w:color w:val="000000"/>
                <w:sz w:val="21"/>
              </w:rPr>
              <w:t xml:space="preserve"> zmian </w:t>
            </w:r>
            <w:r>
              <w:rPr>
                <w:rFonts w:ascii="Times New Roman" w:hAnsi="Times New Roman"/>
                <w:color w:val="000000"/>
                <w:sz w:val="21"/>
                <w:szCs w:val="21"/>
              </w:rPr>
              <w:t xml:space="preserve"> w  treści  porozumień,  ewaluacja  realizacji  przez  gminy  porozumień  oraz  ewaluacja regulacji  (OSR –ex  post),  która  wyniesie  0,3  mln zł rocznie  i  zostanie  przeznaczona  na utworzenie  i  utrzymanie  nowych  3  etatów  specjalistycznych  w  komórce  organizacyjnej odpowiedzialnej za ochronę powietrza na łączną kwotę w okresie 10 lat – 3 mln zł. </w:t>
            </w:r>
          </w:p>
        </w:tc>
      </w:tr>
      <w:tr w:rsidR="000D0175" w:rsidRPr="008B4FE6" w:rsidTr="00481F21">
        <w:trPr>
          <w:gridAfter w:val="1"/>
          <w:wAfter w:w="9" w:type="dxa"/>
          <w:trHeight w:val="345"/>
        </w:trPr>
        <w:tc>
          <w:tcPr>
            <w:tcW w:w="10938" w:type="dxa"/>
            <w:gridSpan w:val="16"/>
            <w:shd w:val="clear" w:color="auto" w:fill="99CCFF"/>
          </w:tcPr>
          <w:p w:rsidR="000D0175" w:rsidRPr="008B4FE6" w:rsidRDefault="000D0175" w:rsidP="000D0175">
            <w:pPr>
              <w:numPr>
                <w:ilvl w:val="0"/>
                <w:numId w:val="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0D0175" w:rsidRPr="008B4FE6" w:rsidTr="00481F21">
        <w:trPr>
          <w:gridAfter w:val="1"/>
          <w:wAfter w:w="9" w:type="dxa"/>
          <w:trHeight w:val="142"/>
        </w:trPr>
        <w:tc>
          <w:tcPr>
            <w:tcW w:w="10938" w:type="dxa"/>
            <w:gridSpan w:val="16"/>
            <w:shd w:val="clear" w:color="auto" w:fill="FFFFFF"/>
          </w:tcPr>
          <w:p w:rsidR="000D0175" w:rsidRPr="00301959" w:rsidRDefault="000D0175" w:rsidP="000D0175">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0D0175" w:rsidRPr="008B4FE6" w:rsidTr="00566CBE">
        <w:trPr>
          <w:gridAfter w:val="1"/>
          <w:wAfter w:w="9" w:type="dxa"/>
          <w:trHeight w:val="142"/>
        </w:trPr>
        <w:tc>
          <w:tcPr>
            <w:tcW w:w="3385" w:type="dxa"/>
            <w:gridSpan w:val="5"/>
            <w:shd w:val="clear" w:color="auto" w:fill="FFFFFF"/>
          </w:tcPr>
          <w:p w:rsidR="000D0175" w:rsidRPr="00301959" w:rsidRDefault="000D0175" w:rsidP="000D0175">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665" w:type="dxa"/>
            <w:shd w:val="clear" w:color="auto" w:fill="FFFFFF"/>
          </w:tcPr>
          <w:p w:rsidR="000D0175" w:rsidRPr="00301959" w:rsidRDefault="000D0175" w:rsidP="000D0175">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1330" w:type="dxa"/>
            <w:gridSpan w:val="2"/>
            <w:shd w:val="clear" w:color="auto" w:fill="FFFFFF"/>
          </w:tcPr>
          <w:p w:rsidR="000D0175" w:rsidRPr="00301959" w:rsidRDefault="000D0175" w:rsidP="000D0175">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1330" w:type="dxa"/>
            <w:gridSpan w:val="2"/>
            <w:shd w:val="clear" w:color="auto" w:fill="FFFFFF"/>
          </w:tcPr>
          <w:p w:rsidR="000D0175" w:rsidRPr="00301959" w:rsidRDefault="000D0175" w:rsidP="000D0175">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665" w:type="dxa"/>
            <w:shd w:val="clear" w:color="auto" w:fill="FFFFFF"/>
          </w:tcPr>
          <w:p w:rsidR="000D0175" w:rsidRPr="00301959" w:rsidRDefault="000D0175" w:rsidP="000D0175">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1330" w:type="dxa"/>
            <w:gridSpan w:val="2"/>
            <w:shd w:val="clear" w:color="auto" w:fill="FFFFFF"/>
          </w:tcPr>
          <w:p w:rsidR="000D0175" w:rsidRPr="00301959" w:rsidRDefault="000D0175" w:rsidP="000D0175">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665" w:type="dxa"/>
            <w:shd w:val="clear" w:color="auto" w:fill="FFFFFF"/>
          </w:tcPr>
          <w:p w:rsidR="000D0175" w:rsidRPr="00301959" w:rsidRDefault="000D0175" w:rsidP="000D0175">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568" w:type="dxa"/>
            <w:gridSpan w:val="2"/>
            <w:shd w:val="clear" w:color="auto" w:fill="FFFFFF"/>
          </w:tcPr>
          <w:p w:rsidR="000D0175" w:rsidRPr="001B3460" w:rsidRDefault="000D0175" w:rsidP="000D0175">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0D0175" w:rsidRPr="008B4FE6" w:rsidTr="00566CBE">
        <w:trPr>
          <w:gridAfter w:val="1"/>
          <w:wAfter w:w="9" w:type="dxa"/>
          <w:trHeight w:val="142"/>
        </w:trPr>
        <w:tc>
          <w:tcPr>
            <w:tcW w:w="1401" w:type="dxa"/>
            <w:vMerge w:val="restart"/>
            <w:shd w:val="clear" w:color="auto" w:fill="FFFFFF"/>
          </w:tcPr>
          <w:p w:rsidR="000D0175" w:rsidRDefault="000D0175" w:rsidP="000D0175">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rsidR="000D0175" w:rsidRDefault="000D0175" w:rsidP="000D0175">
            <w:pPr>
              <w:rPr>
                <w:rFonts w:ascii="Times New Roman" w:hAnsi="Times New Roman"/>
                <w:spacing w:val="-2"/>
                <w:sz w:val="21"/>
                <w:szCs w:val="21"/>
              </w:rPr>
            </w:pPr>
            <w:r>
              <w:rPr>
                <w:rFonts w:ascii="Times New Roman" w:hAnsi="Times New Roman"/>
                <w:spacing w:val="-2"/>
                <w:sz w:val="21"/>
                <w:szCs w:val="21"/>
              </w:rPr>
              <w:t xml:space="preserve">(w mln zł, </w:t>
            </w:r>
          </w:p>
          <w:p w:rsidR="000D0175" w:rsidRPr="00301959" w:rsidRDefault="000D0175" w:rsidP="000D0175">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1984" w:type="dxa"/>
            <w:gridSpan w:val="4"/>
            <w:shd w:val="clear" w:color="auto" w:fill="FFFFFF"/>
          </w:tcPr>
          <w:p w:rsidR="000D0175" w:rsidRPr="00301959" w:rsidRDefault="000D0175" w:rsidP="000D0175">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665" w:type="dxa"/>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330" w:type="dxa"/>
            <w:gridSpan w:val="2"/>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330" w:type="dxa"/>
            <w:gridSpan w:val="2"/>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665" w:type="dxa"/>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330" w:type="dxa"/>
            <w:gridSpan w:val="2"/>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665" w:type="dxa"/>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568" w:type="dxa"/>
            <w:gridSpan w:val="2"/>
            <w:shd w:val="clear" w:color="auto" w:fill="FFFFFF"/>
          </w:tcPr>
          <w:p w:rsidR="000D0175" w:rsidRPr="00B37C80" w:rsidRDefault="000D0175" w:rsidP="000D0175">
            <w:pPr>
              <w:spacing w:line="240" w:lineRule="auto"/>
              <w:rPr>
                <w:rFonts w:ascii="Times New Roman" w:hAnsi="Times New Roman"/>
                <w:color w:val="000000"/>
                <w:spacing w:val="-2"/>
                <w:sz w:val="21"/>
                <w:szCs w:val="21"/>
              </w:rPr>
            </w:pPr>
          </w:p>
        </w:tc>
      </w:tr>
      <w:tr w:rsidR="000D0175" w:rsidRPr="008B4FE6" w:rsidTr="00566CBE">
        <w:trPr>
          <w:gridAfter w:val="1"/>
          <w:wAfter w:w="9" w:type="dxa"/>
          <w:trHeight w:val="142"/>
        </w:trPr>
        <w:tc>
          <w:tcPr>
            <w:tcW w:w="1401" w:type="dxa"/>
            <w:vMerge/>
            <w:shd w:val="clear" w:color="auto" w:fill="FFFFFF"/>
          </w:tcPr>
          <w:p w:rsidR="000D0175" w:rsidRPr="00301959" w:rsidRDefault="000D0175" w:rsidP="000D0175">
            <w:pPr>
              <w:spacing w:line="240" w:lineRule="auto"/>
              <w:rPr>
                <w:rFonts w:ascii="Times New Roman" w:hAnsi="Times New Roman"/>
                <w:color w:val="000000"/>
                <w:sz w:val="21"/>
                <w:szCs w:val="21"/>
              </w:rPr>
            </w:pPr>
          </w:p>
        </w:tc>
        <w:tc>
          <w:tcPr>
            <w:tcW w:w="1984" w:type="dxa"/>
            <w:gridSpan w:val="4"/>
            <w:shd w:val="clear" w:color="auto" w:fill="FFFFFF"/>
          </w:tcPr>
          <w:p w:rsidR="000D0175" w:rsidRPr="00301959" w:rsidRDefault="000D0175" w:rsidP="000D0175">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665" w:type="dxa"/>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330" w:type="dxa"/>
            <w:gridSpan w:val="2"/>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330" w:type="dxa"/>
            <w:gridSpan w:val="2"/>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665" w:type="dxa"/>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330" w:type="dxa"/>
            <w:gridSpan w:val="2"/>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665" w:type="dxa"/>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568" w:type="dxa"/>
            <w:gridSpan w:val="2"/>
            <w:shd w:val="clear" w:color="auto" w:fill="FFFFFF"/>
          </w:tcPr>
          <w:p w:rsidR="000D0175" w:rsidRPr="00B37C80" w:rsidRDefault="000D0175" w:rsidP="000D0175">
            <w:pPr>
              <w:spacing w:line="240" w:lineRule="auto"/>
              <w:rPr>
                <w:rFonts w:ascii="Times New Roman" w:hAnsi="Times New Roman"/>
                <w:color w:val="000000"/>
                <w:spacing w:val="-2"/>
                <w:sz w:val="21"/>
                <w:szCs w:val="21"/>
              </w:rPr>
            </w:pPr>
          </w:p>
        </w:tc>
      </w:tr>
      <w:tr w:rsidR="000D0175" w:rsidRPr="008B4FE6" w:rsidTr="00566CBE">
        <w:trPr>
          <w:gridAfter w:val="1"/>
          <w:wAfter w:w="9" w:type="dxa"/>
          <w:trHeight w:val="142"/>
        </w:trPr>
        <w:tc>
          <w:tcPr>
            <w:tcW w:w="1401" w:type="dxa"/>
            <w:vMerge/>
            <w:shd w:val="clear" w:color="auto" w:fill="FFFFFF"/>
          </w:tcPr>
          <w:p w:rsidR="000D0175" w:rsidRPr="00301959" w:rsidRDefault="000D0175" w:rsidP="000D0175">
            <w:pPr>
              <w:spacing w:line="240" w:lineRule="auto"/>
              <w:rPr>
                <w:rFonts w:ascii="Times New Roman" w:hAnsi="Times New Roman"/>
                <w:color w:val="000000"/>
                <w:sz w:val="21"/>
                <w:szCs w:val="21"/>
              </w:rPr>
            </w:pPr>
          </w:p>
        </w:tc>
        <w:tc>
          <w:tcPr>
            <w:tcW w:w="1984" w:type="dxa"/>
            <w:gridSpan w:val="4"/>
            <w:shd w:val="clear" w:color="auto" w:fill="FFFFFF"/>
          </w:tcPr>
          <w:p w:rsidR="000D0175" w:rsidRPr="00301959" w:rsidRDefault="000D0175" w:rsidP="000D0175">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665" w:type="dxa"/>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330" w:type="dxa"/>
            <w:gridSpan w:val="2"/>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330" w:type="dxa"/>
            <w:gridSpan w:val="2"/>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665" w:type="dxa"/>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330" w:type="dxa"/>
            <w:gridSpan w:val="2"/>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665" w:type="dxa"/>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568" w:type="dxa"/>
            <w:gridSpan w:val="2"/>
            <w:shd w:val="clear" w:color="auto" w:fill="FFFFFF"/>
          </w:tcPr>
          <w:p w:rsidR="000D0175" w:rsidRPr="00B37C80" w:rsidRDefault="000D0175" w:rsidP="000D0175">
            <w:pPr>
              <w:spacing w:line="240" w:lineRule="auto"/>
              <w:rPr>
                <w:rFonts w:ascii="Times New Roman" w:hAnsi="Times New Roman"/>
                <w:color w:val="000000"/>
                <w:spacing w:val="-2"/>
                <w:sz w:val="21"/>
                <w:szCs w:val="21"/>
              </w:rPr>
            </w:pPr>
          </w:p>
        </w:tc>
      </w:tr>
      <w:tr w:rsidR="000D0175" w:rsidRPr="008B4FE6" w:rsidTr="00566CBE">
        <w:trPr>
          <w:gridAfter w:val="1"/>
          <w:wAfter w:w="9" w:type="dxa"/>
          <w:trHeight w:val="142"/>
        </w:trPr>
        <w:tc>
          <w:tcPr>
            <w:tcW w:w="1401" w:type="dxa"/>
            <w:vMerge/>
            <w:shd w:val="clear" w:color="auto" w:fill="FFFFFF"/>
          </w:tcPr>
          <w:p w:rsidR="000D0175" w:rsidRPr="00301959" w:rsidRDefault="000D0175" w:rsidP="000D0175">
            <w:pPr>
              <w:spacing w:line="240" w:lineRule="auto"/>
              <w:rPr>
                <w:rFonts w:ascii="Times New Roman" w:hAnsi="Times New Roman"/>
                <w:color w:val="000000"/>
                <w:sz w:val="21"/>
                <w:szCs w:val="21"/>
              </w:rPr>
            </w:pPr>
          </w:p>
        </w:tc>
        <w:tc>
          <w:tcPr>
            <w:tcW w:w="1984" w:type="dxa"/>
            <w:gridSpan w:val="4"/>
            <w:shd w:val="clear" w:color="auto" w:fill="FFFFFF"/>
          </w:tcPr>
          <w:p w:rsidR="000D0175" w:rsidRPr="00301959" w:rsidRDefault="00A91DF8" w:rsidP="000D0175">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000D0175"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000D0175"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665" w:type="dxa"/>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330" w:type="dxa"/>
            <w:gridSpan w:val="2"/>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330" w:type="dxa"/>
            <w:gridSpan w:val="2"/>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665" w:type="dxa"/>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330" w:type="dxa"/>
            <w:gridSpan w:val="2"/>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665" w:type="dxa"/>
            <w:shd w:val="clear" w:color="auto" w:fill="FFFFFF"/>
          </w:tcPr>
          <w:p w:rsidR="000D0175" w:rsidRPr="00B37C80" w:rsidRDefault="000D0175" w:rsidP="000D0175">
            <w:pPr>
              <w:spacing w:line="240" w:lineRule="auto"/>
              <w:rPr>
                <w:rFonts w:ascii="Times New Roman" w:hAnsi="Times New Roman"/>
                <w:color w:val="000000"/>
                <w:sz w:val="21"/>
                <w:szCs w:val="21"/>
              </w:rPr>
            </w:pPr>
          </w:p>
        </w:tc>
        <w:tc>
          <w:tcPr>
            <w:tcW w:w="1568" w:type="dxa"/>
            <w:gridSpan w:val="2"/>
            <w:shd w:val="clear" w:color="auto" w:fill="FFFFFF"/>
          </w:tcPr>
          <w:p w:rsidR="000D0175" w:rsidRPr="00B37C80" w:rsidRDefault="000D0175" w:rsidP="000D0175">
            <w:pPr>
              <w:spacing w:line="240" w:lineRule="auto"/>
              <w:rPr>
                <w:rFonts w:ascii="Times New Roman" w:hAnsi="Times New Roman"/>
                <w:color w:val="000000"/>
                <w:spacing w:val="-2"/>
                <w:sz w:val="21"/>
                <w:szCs w:val="21"/>
              </w:rPr>
            </w:pPr>
          </w:p>
        </w:tc>
      </w:tr>
      <w:tr w:rsidR="000D0175" w:rsidRPr="008B4FE6" w:rsidTr="00481F21">
        <w:trPr>
          <w:gridAfter w:val="1"/>
          <w:wAfter w:w="9" w:type="dxa"/>
          <w:trHeight w:val="142"/>
        </w:trPr>
        <w:tc>
          <w:tcPr>
            <w:tcW w:w="1401" w:type="dxa"/>
            <w:vMerge w:val="restart"/>
            <w:shd w:val="clear" w:color="auto" w:fill="FFFFFF"/>
          </w:tcPr>
          <w:p w:rsidR="000D0175" w:rsidRPr="00301959" w:rsidRDefault="000D0175" w:rsidP="000D0175">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1984" w:type="dxa"/>
            <w:gridSpan w:val="4"/>
            <w:shd w:val="clear" w:color="auto" w:fill="FFFFFF"/>
          </w:tcPr>
          <w:p w:rsidR="000D0175" w:rsidRPr="00301959" w:rsidRDefault="000D0175" w:rsidP="000D0175">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553" w:type="dxa"/>
            <w:gridSpan w:val="11"/>
            <w:shd w:val="clear" w:color="auto" w:fill="FFFFFF"/>
          </w:tcPr>
          <w:p w:rsidR="00050121" w:rsidRDefault="007D011C">
            <w:pPr>
              <w:spacing w:line="240" w:lineRule="auto"/>
              <w:jc w:val="both"/>
              <w:rPr>
                <w:rFonts w:ascii="Times New Roman" w:hAnsi="Times New Roman"/>
              </w:rPr>
            </w:pPr>
            <w:r>
              <w:rPr>
                <w:rFonts w:ascii="Times New Roman" w:hAnsi="Times New Roman"/>
              </w:rPr>
              <w:t xml:space="preserve">Udostępnienie danych zakładom ubezpieczeń w zakresie przeprowadzonych przeglądów kominiarskich. </w:t>
            </w:r>
            <w:r w:rsidRPr="009229C5">
              <w:rPr>
                <w:rFonts w:ascii="Times New Roman" w:hAnsi="Times New Roman"/>
              </w:rPr>
              <w:t xml:space="preserve">Należy zwrócić uwagę także na potrzebę wykonywania corocznych przeglądów kominiarskich, </w:t>
            </w:r>
            <w:r w:rsidRPr="009229C5">
              <w:rPr>
                <w:rFonts w:ascii="Times New Roman" w:hAnsi="Times New Roman"/>
                <w:color w:val="000000"/>
                <w:sz w:val="21"/>
                <w:szCs w:val="21"/>
              </w:rPr>
              <w:t>które</w:t>
            </w:r>
            <w:r w:rsidRPr="009229C5">
              <w:rPr>
                <w:rFonts w:ascii="Times New Roman" w:hAnsi="Times New Roman"/>
              </w:rPr>
              <w:t xml:space="preserve"> są wymagane nie tylko przepisami prawa, ale również ze względu na bezpieczeństwo mieszkańców oraz z punktu widzenia polis ubezpieczeniowych. Brak takiego przeglądu w przypadku pożaru domu, jest podstawą odmowy wypłaty odszkodowania. Ten fakt, często pozostaje w nieświadomości właścicieli nieruchomości</w:t>
            </w:r>
            <w:r>
              <w:rPr>
                <w:rFonts w:ascii="Times New Roman" w:hAnsi="Times New Roman"/>
              </w:rPr>
              <w:t xml:space="preserve">. </w:t>
            </w:r>
            <w:r w:rsidRPr="009229C5">
              <w:rPr>
                <w:rFonts w:ascii="Times New Roman" w:hAnsi="Times New Roman"/>
              </w:rPr>
              <w:t>Brak jest jednocześnie wiedzy na temat rzeczywistej liczby przeglądów kominiarskich w budynkach w Polsce – nie istnieje żaden rejestr publiczny gromadzący informacje w tym zakresie.  Brak posiadania dokumentu potwierdzającego fakt dokonania przeglądu, który w przypadku pożaru może ulec zniszczeniu i może stanowić źródło problemu dla ubezpieczonego. Z punktu widzenia firm ubezpieczeniowych, jako odbiorców dokumentów sporządzonych i wystawionych przez kominiarzy, pozytywna wartość produktów</w:t>
            </w:r>
            <w:r>
              <w:rPr>
                <w:rFonts w:ascii="Times New Roman" w:hAnsi="Times New Roman"/>
              </w:rPr>
              <w:t xml:space="preserve"> CEEB</w:t>
            </w:r>
            <w:r w:rsidRPr="009229C5">
              <w:rPr>
                <w:rFonts w:ascii="Times New Roman" w:hAnsi="Times New Roman"/>
              </w:rPr>
              <w:t xml:space="preserve"> przejawia się w standaryzacji i ujednoliceniu informacji gromadzonych w CEEB w zakresie przeprowadzonych przeglądów kominowych. Informacje o przeprowadzonych przeglądach kominowych w budynkach zostaną udostępnione zakładom </w:t>
            </w:r>
            <w:r w:rsidRPr="009229C5">
              <w:rPr>
                <w:rFonts w:ascii="Times New Roman" w:hAnsi="Times New Roman"/>
              </w:rPr>
              <w:lastRenderedPageBreak/>
              <w:t xml:space="preserve">ubezpieczeniowym. Obecnie nie jest w pełni sprecyzowane jakiego rodzaju dokumenty są wystarczającymi dla obrotu ubezpieczeniowego, tj. czy należy posługiwać się paragonem, rachunkiem, fakturą VAT czy też protokołem z przeprowadzonej kontroli okresowej komina. Jak pokazuje praktyka, część towarzystw ubezpieczeniowych przyjmuje paragon i rachunek z adnotacją w zakresie przeglądu komina, jednakże zdarza się również żądanie opisu wszystkich szczegółowych czynności wykonanych przez kominiarza podczas dokonywanego przeglądu okresowego komina. Rozwiązania zaprojektowane w </w:t>
            </w:r>
            <w:r>
              <w:rPr>
                <w:rFonts w:ascii="Times New Roman" w:hAnsi="Times New Roman"/>
              </w:rPr>
              <w:t>CEEB</w:t>
            </w:r>
            <w:r w:rsidRPr="009229C5">
              <w:rPr>
                <w:rFonts w:ascii="Times New Roman" w:hAnsi="Times New Roman"/>
              </w:rPr>
              <w:t xml:space="preserve"> stwarzają możliwość wykluczenia konieczności posługiwania się dokumentami papierowymi (paragon, rachunek, faktura VAT, protokół kontroli) na rzecz wykorzystywania danych zgromadzonych w CEEB w tymże zakresie</w:t>
            </w:r>
            <w:r>
              <w:rPr>
                <w:rFonts w:ascii="Times New Roman" w:hAnsi="Times New Roman"/>
              </w:rPr>
              <w:t xml:space="preserve">. </w:t>
            </w:r>
            <w:r w:rsidRPr="009229C5">
              <w:rPr>
                <w:rFonts w:ascii="Times New Roman" w:hAnsi="Times New Roman"/>
              </w:rPr>
              <w:t>Zwiększenie ilości (%) przeglądów kominiarskich i inwentaryzacji w skali kraju dzięki CEEB (a tym samym czystości powietrza i bezpieczeństwa ludzi w budynkach, np. ograniczenie wybuchów, pożarów i zaczadzeń),</w:t>
            </w:r>
            <w:r>
              <w:rPr>
                <w:rFonts w:ascii="Times New Roman" w:hAnsi="Times New Roman"/>
              </w:rPr>
              <w:t xml:space="preserve"> </w:t>
            </w:r>
            <w:r w:rsidRPr="009229C5">
              <w:rPr>
                <w:rFonts w:ascii="Times New Roman" w:hAnsi="Times New Roman"/>
              </w:rPr>
              <w:t xml:space="preserve">stanowi niezwykle istotną wartość i korzyść społeczną </w:t>
            </w:r>
            <w:r>
              <w:rPr>
                <w:rFonts w:ascii="Times New Roman" w:hAnsi="Times New Roman"/>
              </w:rPr>
              <w:t>projektowanych rozwiązań</w:t>
            </w:r>
            <w:r w:rsidRPr="009229C5">
              <w:rPr>
                <w:rFonts w:ascii="Times New Roman" w:hAnsi="Times New Roman"/>
              </w:rPr>
              <w:t xml:space="preserve">. W tym celu zakłada się systemowe oznaczanie budynków, w których nie przeprowadzono przeglądu komina. Rozwiązanie to pozwoli na interwencję ze strony organów administracji publicznej w miejscach powstałych w ten sposób „czarnych plam” i dopilnowanie wypełnienia obowiązku przez jego egzekucję, a tym samym jednoczesne zwiększenie świadomości </w:t>
            </w:r>
            <w:r>
              <w:rPr>
                <w:rFonts w:ascii="Times New Roman" w:hAnsi="Times New Roman"/>
              </w:rPr>
              <w:t xml:space="preserve">i bezpieczeństwa </w:t>
            </w:r>
            <w:r w:rsidRPr="009229C5">
              <w:rPr>
                <w:rFonts w:ascii="Times New Roman" w:hAnsi="Times New Roman"/>
              </w:rPr>
              <w:t>obywateli na tych obszarach.</w:t>
            </w:r>
          </w:p>
        </w:tc>
      </w:tr>
      <w:tr w:rsidR="000D0175" w:rsidRPr="008B4FE6" w:rsidTr="00481F21">
        <w:trPr>
          <w:gridAfter w:val="1"/>
          <w:wAfter w:w="9" w:type="dxa"/>
          <w:trHeight w:val="142"/>
        </w:trPr>
        <w:tc>
          <w:tcPr>
            <w:tcW w:w="1401" w:type="dxa"/>
            <w:vMerge/>
            <w:shd w:val="clear" w:color="auto" w:fill="FFFFFF"/>
          </w:tcPr>
          <w:p w:rsidR="000D0175" w:rsidRPr="00301959" w:rsidRDefault="000D0175" w:rsidP="000D0175">
            <w:pPr>
              <w:spacing w:line="240" w:lineRule="auto"/>
              <w:rPr>
                <w:rFonts w:ascii="Times New Roman" w:hAnsi="Times New Roman"/>
                <w:color w:val="000000"/>
                <w:sz w:val="21"/>
                <w:szCs w:val="21"/>
              </w:rPr>
            </w:pPr>
          </w:p>
        </w:tc>
        <w:tc>
          <w:tcPr>
            <w:tcW w:w="1984" w:type="dxa"/>
            <w:gridSpan w:val="4"/>
            <w:shd w:val="clear" w:color="auto" w:fill="FFFFFF"/>
          </w:tcPr>
          <w:p w:rsidR="000D0175" w:rsidRPr="00301959" w:rsidRDefault="000D0175" w:rsidP="000D0175">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553" w:type="dxa"/>
            <w:gridSpan w:val="11"/>
            <w:shd w:val="clear" w:color="auto" w:fill="FFFFFF"/>
          </w:tcPr>
          <w:p w:rsidR="000D0175" w:rsidRPr="00A919E1" w:rsidRDefault="000D0175" w:rsidP="000D0175">
            <w:pPr>
              <w:spacing w:line="240" w:lineRule="auto"/>
              <w:jc w:val="both"/>
              <w:rPr>
                <w:rFonts w:ascii="Times New Roman" w:hAnsi="Times New Roman"/>
                <w:color w:val="000000"/>
                <w:spacing w:val="-2"/>
              </w:rPr>
            </w:pPr>
            <w:r w:rsidRPr="00A919E1">
              <w:rPr>
                <w:rFonts w:ascii="Times New Roman" w:hAnsi="Times New Roman"/>
                <w:color w:val="000000"/>
                <w:spacing w:val="-2"/>
              </w:rPr>
              <w:t xml:space="preserve">Projektowane rozwiązania angażują w proces inwentaryzacji budynków m. in. przedsiębiorców w postaci osób z uprawnieniami kominiarskimi - mistrzów kominiarskich, osób z uprawnieniami budowlanymi odpowiedniej specjalności instalacyjnej, osób sporządzających świadectwa charakterystyki energetycznej budynku, osób przeprowadzających kontrolę stanu technicznego systemu ogrzewania. Podmiotom tym, jako zasilającym </w:t>
            </w:r>
            <w:r>
              <w:rPr>
                <w:rFonts w:ascii="Times New Roman" w:hAnsi="Times New Roman"/>
                <w:color w:val="000000"/>
                <w:spacing w:val="-2"/>
              </w:rPr>
              <w:t>CEEB</w:t>
            </w:r>
            <w:r w:rsidRPr="00A919E1">
              <w:rPr>
                <w:rFonts w:ascii="Times New Roman" w:hAnsi="Times New Roman"/>
                <w:color w:val="000000"/>
                <w:spacing w:val="-2"/>
              </w:rPr>
              <w:t xml:space="preserve"> w dane w ramach dokonywanych przeglądów/inwentaryzacji, zostanie udostępniona funkcjonalność wprowadzenia do </w:t>
            </w:r>
            <w:r>
              <w:rPr>
                <w:rFonts w:ascii="Times New Roman" w:hAnsi="Times New Roman"/>
                <w:color w:val="000000"/>
                <w:spacing w:val="-2"/>
              </w:rPr>
              <w:t>CEEB</w:t>
            </w:r>
            <w:r w:rsidRPr="00A919E1">
              <w:rPr>
                <w:rFonts w:ascii="Times New Roman" w:hAnsi="Times New Roman"/>
                <w:color w:val="000000"/>
                <w:spacing w:val="-2"/>
              </w:rPr>
              <w:t xml:space="preserve"> danych dotyczących stanu technicznego budynków - na podstawie wyników przeprowadzanej/nego przeglądu/inwentaryzacji. System zapewni dostęp do danych zgromadzonych w </w:t>
            </w:r>
            <w:r>
              <w:rPr>
                <w:rFonts w:ascii="Times New Roman" w:hAnsi="Times New Roman"/>
                <w:color w:val="000000"/>
                <w:spacing w:val="-2"/>
              </w:rPr>
              <w:t>CEEB</w:t>
            </w:r>
            <w:r w:rsidRPr="00A919E1">
              <w:rPr>
                <w:rFonts w:ascii="Times New Roman" w:hAnsi="Times New Roman"/>
                <w:color w:val="000000"/>
                <w:spacing w:val="-2"/>
              </w:rPr>
              <w:t xml:space="preserve">, zaś wprowadzenie danych do </w:t>
            </w:r>
            <w:r>
              <w:rPr>
                <w:rFonts w:ascii="Times New Roman" w:hAnsi="Times New Roman"/>
                <w:color w:val="000000"/>
                <w:spacing w:val="-2"/>
              </w:rPr>
              <w:t>CEEB</w:t>
            </w:r>
            <w:r w:rsidRPr="00A919E1">
              <w:rPr>
                <w:rFonts w:ascii="Times New Roman" w:hAnsi="Times New Roman"/>
                <w:color w:val="000000"/>
                <w:spacing w:val="-2"/>
              </w:rPr>
              <w:t xml:space="preserve"> nastąpi w czasie rzeczywistym, tj. w trakcie wykonania czynności skutkującej koniecznością̨ przekazania danych do </w:t>
            </w:r>
            <w:r>
              <w:rPr>
                <w:rFonts w:ascii="Times New Roman" w:hAnsi="Times New Roman"/>
                <w:color w:val="000000"/>
                <w:spacing w:val="-2"/>
              </w:rPr>
              <w:t>CEEB</w:t>
            </w:r>
            <w:r w:rsidRPr="00A919E1">
              <w:rPr>
                <w:rFonts w:ascii="Times New Roman" w:hAnsi="Times New Roman"/>
                <w:color w:val="000000"/>
                <w:spacing w:val="-2"/>
              </w:rPr>
              <w:t xml:space="preserve">. Wprowadzenie danych do </w:t>
            </w:r>
            <w:r>
              <w:rPr>
                <w:rFonts w:ascii="Times New Roman" w:hAnsi="Times New Roman"/>
                <w:color w:val="000000"/>
                <w:spacing w:val="-2"/>
              </w:rPr>
              <w:t>CEEB</w:t>
            </w:r>
            <w:r w:rsidRPr="00A919E1">
              <w:rPr>
                <w:rFonts w:ascii="Times New Roman" w:hAnsi="Times New Roman"/>
                <w:color w:val="000000"/>
                <w:spacing w:val="-2"/>
              </w:rPr>
              <w:t xml:space="preserve"> nastąpi przez pobranie danych zgromadzonych w </w:t>
            </w:r>
            <w:r>
              <w:rPr>
                <w:rFonts w:ascii="Times New Roman" w:hAnsi="Times New Roman"/>
                <w:color w:val="000000"/>
                <w:spacing w:val="-2"/>
              </w:rPr>
              <w:t>CEEB</w:t>
            </w:r>
            <w:r w:rsidRPr="00A919E1">
              <w:rPr>
                <w:rFonts w:ascii="Times New Roman" w:hAnsi="Times New Roman"/>
                <w:color w:val="000000"/>
                <w:spacing w:val="-2"/>
              </w:rPr>
              <w:t xml:space="preserve">, ich weryfikację oraz wpisanie do </w:t>
            </w:r>
            <w:r>
              <w:rPr>
                <w:rFonts w:ascii="Times New Roman" w:hAnsi="Times New Roman"/>
                <w:color w:val="000000"/>
                <w:spacing w:val="-2"/>
              </w:rPr>
              <w:t>CEEB</w:t>
            </w:r>
            <w:r w:rsidRPr="00A919E1">
              <w:rPr>
                <w:rFonts w:ascii="Times New Roman" w:hAnsi="Times New Roman"/>
                <w:color w:val="000000"/>
                <w:spacing w:val="-2"/>
              </w:rPr>
              <w:t xml:space="preserve"> nowych danych – co umożliwi aktualizację danych gromadzonych w </w:t>
            </w:r>
            <w:r>
              <w:rPr>
                <w:rFonts w:ascii="Times New Roman" w:hAnsi="Times New Roman"/>
                <w:color w:val="000000"/>
                <w:spacing w:val="-2"/>
              </w:rPr>
              <w:t>CEEB</w:t>
            </w:r>
            <w:r w:rsidRPr="00A919E1">
              <w:rPr>
                <w:rFonts w:ascii="Times New Roman" w:hAnsi="Times New Roman"/>
                <w:color w:val="000000"/>
                <w:spacing w:val="-2"/>
              </w:rPr>
              <w:t xml:space="preserve">. System zapewni możliwość obsługi wniosku o wpis osoby uprawnionej do wprowadzania danych do </w:t>
            </w:r>
            <w:r>
              <w:rPr>
                <w:rFonts w:ascii="Times New Roman" w:hAnsi="Times New Roman"/>
                <w:color w:val="000000"/>
                <w:spacing w:val="-2"/>
              </w:rPr>
              <w:t xml:space="preserve">CEEB </w:t>
            </w:r>
            <w:r w:rsidRPr="00A919E1">
              <w:rPr>
                <w:rFonts w:ascii="Times New Roman" w:hAnsi="Times New Roman"/>
                <w:color w:val="000000"/>
                <w:spacing w:val="-2"/>
              </w:rPr>
              <w:t xml:space="preserve">za pośrednictwem e-usług, która umożliwi uprawnionym osobom będącym przedsiębiorcami możliwość wpisania się do wykazu osób uprawnionych, dostęp do elektronicznego formularza wniosku o uzyskanie wpisu osoby uprawnionej do wprowadzania danych do </w:t>
            </w:r>
            <w:r>
              <w:rPr>
                <w:rFonts w:ascii="Times New Roman" w:hAnsi="Times New Roman"/>
                <w:color w:val="000000"/>
                <w:spacing w:val="-2"/>
              </w:rPr>
              <w:t>CEEB</w:t>
            </w:r>
            <w:r w:rsidRPr="00A919E1">
              <w:rPr>
                <w:rFonts w:ascii="Times New Roman" w:hAnsi="Times New Roman"/>
                <w:color w:val="000000"/>
                <w:spacing w:val="-2"/>
              </w:rPr>
              <w:t>. W ramach usługi możliwe będzie przesłanie niezbędnych dokumentów i danych, potwierdzających posiadane uprawnienia wnioskującego, uzyskanie potwierdzenia ich przesłania, sprawdzenie stanu weryfikacji wniosku przez użytkownika oraz uzyskanie potwierdzenia nadania dostępu do wykazu osób uprawnionych</w:t>
            </w:r>
            <w:r>
              <w:rPr>
                <w:rFonts w:ascii="Times New Roman" w:hAnsi="Times New Roman"/>
                <w:color w:val="000000"/>
                <w:spacing w:val="-2"/>
              </w:rPr>
              <w:t xml:space="preserve"> CEEB</w:t>
            </w:r>
            <w:r w:rsidRPr="00A919E1">
              <w:rPr>
                <w:rFonts w:ascii="Times New Roman" w:hAnsi="Times New Roman"/>
                <w:color w:val="000000"/>
                <w:spacing w:val="-2"/>
              </w:rPr>
              <w:t>.</w:t>
            </w:r>
          </w:p>
        </w:tc>
      </w:tr>
      <w:tr w:rsidR="000D0175" w:rsidRPr="008B4FE6" w:rsidTr="00481F21">
        <w:trPr>
          <w:gridAfter w:val="1"/>
          <w:wAfter w:w="9" w:type="dxa"/>
          <w:trHeight w:val="596"/>
        </w:trPr>
        <w:tc>
          <w:tcPr>
            <w:tcW w:w="1401" w:type="dxa"/>
            <w:vMerge/>
            <w:shd w:val="clear" w:color="auto" w:fill="FFFFFF"/>
          </w:tcPr>
          <w:p w:rsidR="000D0175" w:rsidRPr="00301959" w:rsidRDefault="000D0175" w:rsidP="000D0175">
            <w:pPr>
              <w:spacing w:line="240" w:lineRule="auto"/>
              <w:rPr>
                <w:rFonts w:ascii="Times New Roman" w:hAnsi="Times New Roman"/>
                <w:color w:val="000000"/>
                <w:sz w:val="21"/>
                <w:szCs w:val="21"/>
              </w:rPr>
            </w:pPr>
          </w:p>
        </w:tc>
        <w:tc>
          <w:tcPr>
            <w:tcW w:w="1984" w:type="dxa"/>
            <w:gridSpan w:val="4"/>
            <w:shd w:val="clear" w:color="auto" w:fill="FFFFFF"/>
          </w:tcPr>
          <w:p w:rsidR="000D0175" w:rsidRPr="00301959" w:rsidRDefault="000D0175" w:rsidP="000D0175">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Pr="00301959">
              <w:rPr>
                <w:rFonts w:ascii="Times New Roman" w:hAnsi="Times New Roman"/>
                <w:color w:val="000000"/>
                <w:sz w:val="21"/>
                <w:szCs w:val="21"/>
              </w:rPr>
              <w:t xml:space="preserve"> </w:t>
            </w:r>
            <w:r>
              <w:rPr>
                <w:rFonts w:ascii="Times New Roman" w:hAnsi="Times New Roman"/>
                <w:color w:val="000000"/>
                <w:sz w:val="21"/>
                <w:szCs w:val="21"/>
              </w:rPr>
              <w:t>, osoby starsze i niepełnosprawne</w:t>
            </w:r>
          </w:p>
        </w:tc>
        <w:tc>
          <w:tcPr>
            <w:tcW w:w="7553" w:type="dxa"/>
            <w:gridSpan w:val="11"/>
            <w:shd w:val="clear" w:color="auto" w:fill="FFFFFF"/>
          </w:tcPr>
          <w:p w:rsidR="000D0175" w:rsidRPr="00A919E1" w:rsidRDefault="000D0175" w:rsidP="000D0175">
            <w:pPr>
              <w:spacing w:line="240" w:lineRule="auto"/>
              <w:jc w:val="both"/>
              <w:rPr>
                <w:rFonts w:ascii="Times New Roman" w:hAnsi="Times New Roman"/>
                <w:color w:val="000000"/>
                <w:spacing w:val="-2"/>
              </w:rPr>
            </w:pPr>
            <w:r w:rsidRPr="00A919E1">
              <w:rPr>
                <w:rFonts w:ascii="Times New Roman" w:hAnsi="Times New Roman"/>
                <w:color w:val="000000"/>
                <w:spacing w:val="-2"/>
              </w:rPr>
              <w:t>Zinwentaryzowanie budynku stanowić będzie korzyść dla obywatela – pozwoli m. in. na dotarcie instytucjom dofinansowującym do osób najbardziej potrzebujących, w tym ubogich energetycznie, ze wsparciem finansowym w ramach programów pomocowych realizowanych ze środków publicznych. Należy mieć bowiem na względzie, że na poziomie lokalnym (województwo)</w:t>
            </w:r>
            <w:r>
              <w:rPr>
                <w:rFonts w:ascii="Times New Roman" w:hAnsi="Times New Roman"/>
                <w:color w:val="000000"/>
                <w:spacing w:val="-2"/>
              </w:rPr>
              <w:t xml:space="preserve"> obowiązują </w:t>
            </w:r>
            <w:r w:rsidRPr="00A919E1">
              <w:rPr>
                <w:rFonts w:ascii="Times New Roman" w:hAnsi="Times New Roman"/>
                <w:color w:val="000000"/>
                <w:spacing w:val="-2"/>
              </w:rPr>
              <w:t>tzw. uchwały antysmogowe, które zakazują stosowania określonego rodzaju paliwa i korzystania z pieców/kotłów określonej klasy.</w:t>
            </w:r>
            <w:r>
              <w:rPr>
                <w:rFonts w:ascii="Times New Roman" w:hAnsi="Times New Roman"/>
                <w:color w:val="000000"/>
                <w:spacing w:val="-2"/>
              </w:rPr>
              <w:t xml:space="preserve"> I tak</w:t>
            </w:r>
            <w:r w:rsidRPr="00A919E1">
              <w:rPr>
                <w:rFonts w:ascii="Times New Roman" w:hAnsi="Times New Roman"/>
                <w:color w:val="000000"/>
                <w:spacing w:val="-2"/>
              </w:rPr>
              <w:t>, od dnia 1 września 2019 r. w Krakowie zacz</w:t>
            </w:r>
            <w:r>
              <w:rPr>
                <w:rFonts w:ascii="Times New Roman" w:hAnsi="Times New Roman"/>
                <w:color w:val="000000"/>
                <w:spacing w:val="-2"/>
              </w:rPr>
              <w:t>ął</w:t>
            </w:r>
            <w:r w:rsidRPr="00A919E1">
              <w:rPr>
                <w:rFonts w:ascii="Times New Roman" w:hAnsi="Times New Roman"/>
                <w:color w:val="000000"/>
                <w:spacing w:val="-2"/>
              </w:rPr>
              <w:t xml:space="preserve"> obowiązywać całkowity zakaz stosowania węgla i drewna w kotłach, piecach i kominkach. Rozwiązanie takie sprawia, że</w:t>
            </w:r>
            <w:r>
              <w:rPr>
                <w:rFonts w:ascii="Times New Roman" w:hAnsi="Times New Roman"/>
                <w:color w:val="000000"/>
                <w:spacing w:val="-2"/>
              </w:rPr>
              <w:t xml:space="preserve"> </w:t>
            </w:r>
            <w:r w:rsidRPr="00A919E1">
              <w:rPr>
                <w:rFonts w:ascii="Times New Roman" w:hAnsi="Times New Roman"/>
                <w:color w:val="000000"/>
                <w:spacing w:val="-2"/>
              </w:rPr>
              <w:t xml:space="preserve">należy zastosować inne rodzaje paliwa do ogrzewania swoich domów, jak </w:t>
            </w:r>
            <w:r>
              <w:rPr>
                <w:rFonts w:ascii="Times New Roman" w:hAnsi="Times New Roman"/>
                <w:color w:val="000000"/>
                <w:spacing w:val="-2"/>
              </w:rPr>
              <w:t xml:space="preserve">i </w:t>
            </w:r>
            <w:r w:rsidRPr="00A919E1">
              <w:rPr>
                <w:rFonts w:ascii="Times New Roman" w:hAnsi="Times New Roman"/>
                <w:color w:val="000000"/>
                <w:spacing w:val="-2"/>
              </w:rPr>
              <w:t xml:space="preserve">wymienić stare niskoemisyjne kotły/piece. Zinwentaryzowanie budynku stworzy realną możliwość dotarcia do budynku przez instytucje finansujące </w:t>
            </w:r>
            <w:r>
              <w:rPr>
                <w:rFonts w:ascii="Times New Roman" w:hAnsi="Times New Roman"/>
                <w:color w:val="000000"/>
                <w:spacing w:val="-2"/>
              </w:rPr>
              <w:t xml:space="preserve">wymianę lub likwidację kopciuchów </w:t>
            </w:r>
            <w:r w:rsidRPr="00A919E1">
              <w:rPr>
                <w:rFonts w:ascii="Times New Roman" w:hAnsi="Times New Roman"/>
                <w:color w:val="000000"/>
                <w:spacing w:val="-2"/>
              </w:rPr>
              <w:t xml:space="preserve">w ramach różnych programów, w tym przede wszystkim </w:t>
            </w:r>
            <w:r>
              <w:rPr>
                <w:rFonts w:ascii="Times New Roman" w:hAnsi="Times New Roman"/>
                <w:color w:val="000000"/>
                <w:spacing w:val="-2"/>
              </w:rPr>
              <w:t xml:space="preserve">rządowego programu priorytetowego </w:t>
            </w:r>
            <w:r w:rsidRPr="00A919E1">
              <w:rPr>
                <w:rFonts w:ascii="Times New Roman" w:hAnsi="Times New Roman"/>
                <w:color w:val="000000"/>
                <w:spacing w:val="-2"/>
              </w:rPr>
              <w:t xml:space="preserve">„Czyste Powietrze”.   </w:t>
            </w:r>
          </w:p>
          <w:p w:rsidR="000D0175" w:rsidRPr="00A919E1" w:rsidRDefault="000D0175" w:rsidP="000D0175">
            <w:pPr>
              <w:spacing w:line="240" w:lineRule="auto"/>
              <w:jc w:val="both"/>
              <w:rPr>
                <w:rFonts w:ascii="Times New Roman" w:hAnsi="Times New Roman"/>
                <w:color w:val="000000"/>
                <w:spacing w:val="-2"/>
              </w:rPr>
            </w:pPr>
            <w:r w:rsidRPr="00A919E1">
              <w:rPr>
                <w:rFonts w:ascii="Times New Roman" w:hAnsi="Times New Roman"/>
                <w:color w:val="000000"/>
                <w:spacing w:val="-2"/>
              </w:rPr>
              <w:t xml:space="preserve">Wypracowane narzędzia analityczne zaszyte w systemie teleinformatycznym, będą dostępne dla obywateli w formie e–usług. Dostęp do e-usług wykorzystujących dane o budynkach odbywać się będzie po podaniu danych identyfikujących właściciela budynku. Przewiduje się bowiem udostępnianie danych zgromadzonych w </w:t>
            </w:r>
            <w:r>
              <w:rPr>
                <w:rFonts w:ascii="Times New Roman" w:hAnsi="Times New Roman"/>
                <w:color w:val="000000"/>
                <w:spacing w:val="-2"/>
              </w:rPr>
              <w:t>CEEB</w:t>
            </w:r>
            <w:r w:rsidRPr="00A919E1">
              <w:rPr>
                <w:rFonts w:ascii="Times New Roman" w:hAnsi="Times New Roman"/>
                <w:color w:val="000000"/>
                <w:spacing w:val="-2"/>
              </w:rPr>
              <w:t xml:space="preserve"> w postaci elektronicznej przy użyciu systemu teleinformatycznego - każdemu zainteresowanemu, w zakresie danych, które go dotyczą, po podaniu danych określonych w przepisach wykonawczych w celu autoryzacji i uwierzytelnienia. W tym zakresie zostaną wprowadzone e – usługi dla obywateli w postaci:</w:t>
            </w:r>
          </w:p>
          <w:p w:rsidR="000D0175" w:rsidRPr="00A919E1" w:rsidRDefault="000D0175" w:rsidP="000D0175">
            <w:pPr>
              <w:spacing w:line="240" w:lineRule="auto"/>
              <w:jc w:val="both"/>
              <w:rPr>
                <w:rFonts w:ascii="Times New Roman" w:hAnsi="Times New Roman"/>
                <w:color w:val="000000"/>
                <w:spacing w:val="-2"/>
              </w:rPr>
            </w:pPr>
            <w:r w:rsidRPr="00A919E1">
              <w:rPr>
                <w:rFonts w:ascii="Times New Roman" w:hAnsi="Times New Roman"/>
                <w:color w:val="000000"/>
                <w:spacing w:val="-2"/>
              </w:rPr>
              <w:lastRenderedPageBreak/>
              <w:t xml:space="preserve">1. Zamówienia przeglądu kominowego wraz z inwentaryzacją budynku - usługa umożliwi obywatelom </w:t>
            </w:r>
            <w:r>
              <w:rPr>
                <w:rFonts w:ascii="Times New Roman" w:hAnsi="Times New Roman"/>
                <w:color w:val="000000"/>
                <w:spacing w:val="-2"/>
              </w:rPr>
              <w:t xml:space="preserve"> (</w:t>
            </w:r>
            <w:r w:rsidRPr="00A919E1">
              <w:rPr>
                <w:rFonts w:ascii="Times New Roman" w:hAnsi="Times New Roman"/>
                <w:color w:val="000000"/>
                <w:spacing w:val="-2"/>
              </w:rPr>
              <w:t>właściciel</w:t>
            </w:r>
            <w:r>
              <w:rPr>
                <w:rFonts w:ascii="Times New Roman" w:hAnsi="Times New Roman"/>
                <w:color w:val="000000"/>
                <w:spacing w:val="-2"/>
              </w:rPr>
              <w:t>e</w:t>
            </w:r>
            <w:r w:rsidRPr="00A919E1">
              <w:rPr>
                <w:rFonts w:ascii="Times New Roman" w:hAnsi="Times New Roman"/>
                <w:color w:val="000000"/>
                <w:spacing w:val="-2"/>
              </w:rPr>
              <w:t xml:space="preserve"> budynków</w:t>
            </w:r>
            <w:r>
              <w:rPr>
                <w:rFonts w:ascii="Times New Roman" w:hAnsi="Times New Roman"/>
                <w:color w:val="000000"/>
                <w:spacing w:val="-2"/>
              </w:rPr>
              <w:t>)</w:t>
            </w:r>
            <w:r w:rsidRPr="00A919E1">
              <w:rPr>
                <w:rFonts w:ascii="Times New Roman" w:hAnsi="Times New Roman"/>
                <w:color w:val="000000"/>
                <w:spacing w:val="-2"/>
              </w:rPr>
              <w:t xml:space="preserve">, w których eksploatowane są źródła spalania paliw o nominalnej mocy cieplnej mniejszej niż 1MW, elektroniczną rezerwację terminu usługi przeglądu kominowego dokonywanego wraz z inwentaryzacją budynku. E-usługa zapewni także właścicielom budynków możliwość wyboru potencjalnych wykonawców usługi spośród wykonawców (osób  uprawnionych do wprowadzania danych do </w:t>
            </w:r>
            <w:r>
              <w:rPr>
                <w:rFonts w:ascii="Times New Roman" w:hAnsi="Times New Roman"/>
                <w:color w:val="000000"/>
                <w:spacing w:val="-2"/>
              </w:rPr>
              <w:t>CEEB</w:t>
            </w:r>
            <w:r w:rsidRPr="00A919E1">
              <w:rPr>
                <w:rFonts w:ascii="Times New Roman" w:hAnsi="Times New Roman"/>
                <w:color w:val="000000"/>
                <w:spacing w:val="-2"/>
              </w:rPr>
              <w:t>), jak również zarządzanie terminem realizacji  przeglądu kominowego</w:t>
            </w:r>
            <w:r>
              <w:rPr>
                <w:rFonts w:ascii="Times New Roman" w:hAnsi="Times New Roman"/>
                <w:color w:val="000000"/>
                <w:spacing w:val="-2"/>
              </w:rPr>
              <w:t xml:space="preserve"> </w:t>
            </w:r>
            <w:r w:rsidRPr="00A919E1">
              <w:rPr>
                <w:rFonts w:ascii="Times New Roman" w:hAnsi="Times New Roman"/>
                <w:color w:val="000000"/>
                <w:spacing w:val="-2"/>
              </w:rPr>
              <w:t xml:space="preserve">(np. zmianę terminu, jej odwołanie, edytowanie danych). Po stronie wykonawców przeglądów/inwentaryzacji, dostępna będzie funkcjonalność wprowadzenia do </w:t>
            </w:r>
            <w:r>
              <w:rPr>
                <w:rFonts w:ascii="Times New Roman" w:hAnsi="Times New Roman"/>
                <w:color w:val="000000"/>
                <w:spacing w:val="-2"/>
              </w:rPr>
              <w:t>CEEB</w:t>
            </w:r>
            <w:r w:rsidRPr="00A919E1">
              <w:rPr>
                <w:rFonts w:ascii="Times New Roman" w:hAnsi="Times New Roman"/>
                <w:color w:val="000000"/>
                <w:spacing w:val="-2"/>
              </w:rPr>
              <w:t xml:space="preserve"> danych dotyczących stanu technicznego budynków (na podstawie wyników przeprowadzanej/nego przeglądu/inwentaryzacji). Po stronie</w:t>
            </w:r>
            <w:r>
              <w:rPr>
                <w:rFonts w:ascii="Times New Roman" w:hAnsi="Times New Roman"/>
                <w:color w:val="000000"/>
                <w:spacing w:val="-2"/>
              </w:rPr>
              <w:t xml:space="preserve"> </w:t>
            </w:r>
            <w:r w:rsidRPr="00A919E1">
              <w:rPr>
                <w:rFonts w:ascii="Times New Roman" w:hAnsi="Times New Roman"/>
                <w:color w:val="000000"/>
                <w:spacing w:val="-2"/>
              </w:rPr>
              <w:t>właścicieli budynków jedna z funkcjonalności e-usługi umożliwi pobranie dokumentu z wynikami przeprowadzonej inwentaryzacji, które w dalszej kolejności będą mogli oni wykorzystać do ubiegania się o różne formy pomocy publicznej (dotacje, preferencyjne kredyty, pożyczki, itp.) na termomodernizację bądź wymianę ko</w:t>
            </w:r>
            <w:r>
              <w:rPr>
                <w:rFonts w:ascii="Times New Roman" w:hAnsi="Times New Roman"/>
                <w:color w:val="000000"/>
                <w:spacing w:val="-2"/>
              </w:rPr>
              <w:t>pciuchów</w:t>
            </w:r>
            <w:r w:rsidRPr="00A919E1">
              <w:rPr>
                <w:rFonts w:ascii="Times New Roman" w:hAnsi="Times New Roman"/>
                <w:color w:val="000000"/>
                <w:spacing w:val="-2"/>
              </w:rPr>
              <w:t>.</w:t>
            </w:r>
          </w:p>
          <w:p w:rsidR="000D0175" w:rsidRPr="00A919E1" w:rsidRDefault="000D0175" w:rsidP="000D0175">
            <w:pPr>
              <w:spacing w:line="240" w:lineRule="auto"/>
              <w:jc w:val="both"/>
              <w:rPr>
                <w:rFonts w:ascii="Times New Roman" w:hAnsi="Times New Roman"/>
                <w:color w:val="000000"/>
                <w:spacing w:val="-2"/>
              </w:rPr>
            </w:pPr>
            <w:r w:rsidRPr="00A919E1">
              <w:rPr>
                <w:rFonts w:ascii="Times New Roman" w:hAnsi="Times New Roman"/>
                <w:color w:val="000000"/>
                <w:spacing w:val="-2"/>
              </w:rPr>
              <w:t xml:space="preserve">2. Obsługi wniosku o wpis osoby uprawnionej do wprowadzania danych do </w:t>
            </w:r>
            <w:r>
              <w:rPr>
                <w:rFonts w:ascii="Times New Roman" w:hAnsi="Times New Roman"/>
                <w:color w:val="000000"/>
                <w:spacing w:val="-2"/>
              </w:rPr>
              <w:t xml:space="preserve">CEEB </w:t>
            </w:r>
            <w:r w:rsidRPr="00A919E1">
              <w:rPr>
                <w:rFonts w:ascii="Times New Roman" w:hAnsi="Times New Roman"/>
                <w:color w:val="000000"/>
                <w:spacing w:val="-2"/>
              </w:rPr>
              <w:t>- usługa umożliwi obywatelom uprawnionym do wpisania się do wykazu osób uprawnionych, dostęp do elektronicznego formularza wniosku o uzyskanie wpisu osoby uprawnionej do wprowadzania danych do</w:t>
            </w:r>
            <w:r>
              <w:rPr>
                <w:rFonts w:ascii="Times New Roman" w:hAnsi="Times New Roman"/>
                <w:color w:val="000000"/>
                <w:spacing w:val="-2"/>
              </w:rPr>
              <w:t xml:space="preserve"> CEEB</w:t>
            </w:r>
            <w:r w:rsidRPr="00A919E1">
              <w:rPr>
                <w:rFonts w:ascii="Times New Roman" w:hAnsi="Times New Roman"/>
                <w:color w:val="000000"/>
                <w:spacing w:val="-2"/>
              </w:rPr>
              <w:t xml:space="preserve">. W ramach usługi możliwe będzie przesłanie niezbędnych dokumentów i danych, potwierdzających posiadane uprawnienia wnioskującego, uzyskanie potwierdzenia ich przesłania, sprawdzenie stanu weryfikacji wniosku przez użytkownika oraz uzyskanie potwierdzenia nadania dostępu do wykazu osób uprawnionych </w:t>
            </w:r>
            <w:r>
              <w:rPr>
                <w:rFonts w:ascii="Times New Roman" w:hAnsi="Times New Roman"/>
                <w:color w:val="000000"/>
                <w:spacing w:val="-2"/>
              </w:rPr>
              <w:t>CEEB</w:t>
            </w:r>
            <w:r w:rsidRPr="00A919E1">
              <w:rPr>
                <w:rFonts w:ascii="Times New Roman" w:hAnsi="Times New Roman"/>
                <w:color w:val="000000"/>
                <w:spacing w:val="-2"/>
              </w:rPr>
              <w:t xml:space="preserve">. W dalszej kolejności umożliwi to uprawnionym osobom edytowanie danych gromadzonych </w:t>
            </w:r>
            <w:r>
              <w:rPr>
                <w:rFonts w:ascii="Times New Roman" w:hAnsi="Times New Roman"/>
                <w:color w:val="000000"/>
                <w:spacing w:val="-2"/>
              </w:rPr>
              <w:t xml:space="preserve">w CEEB </w:t>
            </w:r>
            <w:r w:rsidRPr="00A919E1">
              <w:rPr>
                <w:rFonts w:ascii="Times New Roman" w:hAnsi="Times New Roman"/>
                <w:color w:val="000000"/>
                <w:spacing w:val="-2"/>
              </w:rPr>
              <w:t>i wprowadzanie do niej danych na podstawie przeprowadzonych przez nich czynności lub przeglądów i inwentaryzacji ww. budynków.</w:t>
            </w:r>
          </w:p>
          <w:p w:rsidR="000D0175" w:rsidRDefault="000D0175" w:rsidP="000D0175">
            <w:pPr>
              <w:spacing w:line="240" w:lineRule="auto"/>
              <w:jc w:val="both"/>
              <w:rPr>
                <w:rFonts w:ascii="Times New Roman" w:hAnsi="Times New Roman"/>
                <w:color w:val="000000"/>
                <w:spacing w:val="-2"/>
              </w:rPr>
            </w:pPr>
            <w:r w:rsidRPr="00A919E1">
              <w:rPr>
                <w:rFonts w:ascii="Times New Roman" w:hAnsi="Times New Roman"/>
                <w:color w:val="000000"/>
                <w:spacing w:val="-2"/>
              </w:rPr>
              <w:t>3. Zamówienia dobrowolnej inwentaryzacji budynku dokonywanej przez gminę -  usługa umożliwi obywatelom, elektroniczną rezerwację terminu  przeprowadzenia przez osoby uprawnione (upoważnionych pracowników urzędów</w:t>
            </w:r>
            <w:r>
              <w:rPr>
                <w:rFonts w:ascii="Times New Roman" w:hAnsi="Times New Roman"/>
                <w:color w:val="000000"/>
                <w:spacing w:val="-2"/>
              </w:rPr>
              <w:t xml:space="preserve"> </w:t>
            </w:r>
            <w:r w:rsidRPr="00A919E1">
              <w:rPr>
                <w:rFonts w:ascii="Times New Roman" w:hAnsi="Times New Roman"/>
                <w:color w:val="000000"/>
                <w:spacing w:val="-2"/>
              </w:rPr>
              <w:t xml:space="preserve">gmin/zleceniobiorców działających w imieniu i na rzecz gminy/strażników miejskich) inwentaryzacji budynku. E-usługa zapewni także obywatelom możliwość zarządzania terminem przeprowadzanej inwentaryzacji budynku  (np. zmianę terminu, jej odwołanie, edytowanie danych). Po stronie wykonawcy inwentaryzacji (gmina), dostępna będzie funkcjonalność wprowadzenia do </w:t>
            </w:r>
            <w:r>
              <w:rPr>
                <w:rFonts w:ascii="Times New Roman" w:hAnsi="Times New Roman"/>
                <w:color w:val="000000"/>
                <w:spacing w:val="-2"/>
              </w:rPr>
              <w:t>CEEB</w:t>
            </w:r>
            <w:r w:rsidRPr="00A919E1">
              <w:rPr>
                <w:rFonts w:ascii="Times New Roman" w:hAnsi="Times New Roman"/>
                <w:color w:val="000000"/>
                <w:spacing w:val="-2"/>
              </w:rPr>
              <w:t xml:space="preserve"> danych dotyczących stanu technicznego budynków (na podstawie przeprowadzonej inwentaryzacji). Po stronie obywatela - jedna z funkcjonalności e-usługi umożliwi pobranie dokumentu z wynikami przeprowadzonej inwentaryzacji, które w dalszej kolejności będą mogli oni wykorzystać do ubiegania się o różne formy pomocy publicznej (dotacje, preferencyjne kredyty, pożyczki) na termomodernizację bądź wymianę kotłów w budynkach.</w:t>
            </w:r>
          </w:p>
          <w:p w:rsidR="000D0175" w:rsidRPr="00A919E1" w:rsidRDefault="000D0175" w:rsidP="000D0175">
            <w:pPr>
              <w:spacing w:line="240" w:lineRule="auto"/>
              <w:jc w:val="both"/>
              <w:rPr>
                <w:rFonts w:ascii="Times New Roman" w:hAnsi="Times New Roman"/>
                <w:color w:val="000000"/>
                <w:spacing w:val="-2"/>
              </w:rPr>
            </w:pPr>
            <w:r w:rsidRPr="002549FC">
              <w:rPr>
                <w:rFonts w:ascii="Times New Roman" w:hAnsi="Times New Roman"/>
                <w:color w:val="000000"/>
                <w:spacing w:val="-2"/>
              </w:rPr>
              <w:t>Z projektowanych przepisów wynika możliwość udostępnienia danych zgromadzonych w CEEB - właścicielowi lub zarządcy budynku, po podaniu danych określonych w przepisach wykonawczych, zgodnie z którymi minister właściwy do spraw gospodarki określi, w drodze rozporządzenia szczegółowy zakres udostępnianych danych oraz informacje, których podanie jest wymagane, mając na uwadze konieczność zapewnienia bezpieczeństwa tych danych. W rozporządzeniu wykonawczym zostanie tym samym określona m.in. e – usługa w postaci „Zamów inwentaryzację budynku”. Potencjalnym użytkownikiem usługi będzie każdy właściciel lub zarządca budynku. W chwili obecnej gminy są zobligowane do inwentaryzacji budynków w ramach Programów Ochrony Powietrza – niniejsze rozwiązanie stanowić będzie instrument wsparcia tego działania, które zostanie udostępnione gminom bezpłatnie</w:t>
            </w:r>
          </w:p>
          <w:p w:rsidR="000D0175" w:rsidRPr="00A919E1" w:rsidRDefault="000D0175" w:rsidP="000D0175">
            <w:pPr>
              <w:spacing w:line="240" w:lineRule="auto"/>
              <w:jc w:val="both"/>
              <w:rPr>
                <w:rFonts w:ascii="Times New Roman" w:hAnsi="Times New Roman"/>
                <w:color w:val="000000"/>
                <w:spacing w:val="-2"/>
              </w:rPr>
            </w:pPr>
            <w:r w:rsidRPr="00A919E1">
              <w:rPr>
                <w:rFonts w:ascii="Times New Roman" w:hAnsi="Times New Roman"/>
                <w:color w:val="000000"/>
                <w:spacing w:val="-2"/>
              </w:rPr>
              <w:t>Dostęp online dla właścicieli budynków do własnych danych przyczyni się do zlikwidowania uciążliwości związanej obecnie z dostępem do danych dotyczących możliwych form dofinansowania. Możliwe będzie bieżące monitorowanie informacji na temat dostępnych środków finansowych na termomodernizację budynku lub wymianę kotła w ramach środków publiczn</w:t>
            </w:r>
            <w:r>
              <w:rPr>
                <w:rFonts w:ascii="Times New Roman" w:hAnsi="Times New Roman"/>
                <w:color w:val="000000"/>
                <w:spacing w:val="-2"/>
              </w:rPr>
              <w:t>ych</w:t>
            </w:r>
            <w:r w:rsidRPr="00A919E1">
              <w:rPr>
                <w:rFonts w:ascii="Times New Roman" w:hAnsi="Times New Roman"/>
                <w:color w:val="000000"/>
                <w:spacing w:val="-2"/>
              </w:rPr>
              <w:t xml:space="preserve">. System pełni w tym zakresie rolę koordynatora przyznawanych dofinansowań środków publicznych, realizowanych na różnych płaszczyznach – przez różne podmioty i z różnych źródeł. Centralizacja informacji sprawi, że otrzymanie dofinansowania na termomodernizację budynku lub wymianę kotła stanie się bardziej przystępne dla obywateli, którzy w wielu przypadkach z uwagi na brak świadomości co do istniejących wariantów wsparcia, nie są w stanie niestety pozyskać stosownego wsparcia finansowego. Zaprojektowane rozwiązania umożliwią i zracjonalizują bowiem podejmowanie decyzji inwestycyjnych przez samorządy terytorialne, które będą miały możliwość efektywniejszego wspierania przeciwdziałania zjawisku niskiej emisji na danym terenie </w:t>
            </w:r>
            <w:r w:rsidRPr="00A919E1">
              <w:rPr>
                <w:rFonts w:ascii="Times New Roman" w:hAnsi="Times New Roman"/>
                <w:color w:val="000000"/>
                <w:spacing w:val="-2"/>
              </w:rPr>
              <w:lastRenderedPageBreak/>
              <w:t>(ulica, dzielnica, wieś/miasto, gmina, powiat, województwo), z uwzględnieniem potrzeb obywateli, zwłaszcza ubogich energetycznie, którzy wymagają pomocy państwa w tym zakresie. Projekt może wpłynąć na sytuację ekonomiczną i społeczną rodziny, gdyż poznanie potrzeb obywateli, przede wszystkim tych ubogich energetycznie umożliwi wsparcie wymiany kotłów na kotły węglowe piątej generacji lub na gazowe czy też wsparcie podłączenia danego budynku</w:t>
            </w:r>
            <w:r>
              <w:rPr>
                <w:rFonts w:ascii="Times New Roman" w:hAnsi="Times New Roman"/>
                <w:color w:val="000000"/>
                <w:spacing w:val="-2"/>
              </w:rPr>
              <w:t xml:space="preserve"> </w:t>
            </w:r>
            <w:r w:rsidRPr="00A919E1">
              <w:rPr>
                <w:rFonts w:ascii="Times New Roman" w:hAnsi="Times New Roman"/>
                <w:color w:val="000000"/>
                <w:spacing w:val="-2"/>
              </w:rPr>
              <w:t>do systemu ciepłowniczego. Możliwość zamówienia kominiarza ułatwi obywatelom dostęp do osób dokonujących przeglądów okresowych</w:t>
            </w:r>
            <w:r>
              <w:rPr>
                <w:rFonts w:ascii="Times New Roman" w:hAnsi="Times New Roman"/>
                <w:color w:val="000000"/>
                <w:spacing w:val="-2"/>
              </w:rPr>
              <w:t xml:space="preserve"> przewodów kominowych</w:t>
            </w:r>
            <w:r w:rsidRPr="00A919E1">
              <w:rPr>
                <w:rFonts w:ascii="Times New Roman" w:hAnsi="Times New Roman"/>
                <w:color w:val="000000"/>
                <w:spacing w:val="-2"/>
              </w:rPr>
              <w:t>, do których w wielu miejscach w kraju dostęp jest ograniczony. Wszystko to przyczyni się to do polepszenia jakości powietrza w gospodarstwach domowych, zmniejszy się ryzyko wystąpienia lokalnych zjawisk smogu, co poprawi poziom zdrowia mieszkańców Polski - zmniejszy się tym samym zachorowalność na choroby wywoływane przez zanieczyszczenie powietrza, koszty leczenia i straty w wyniku przedwczesnych zgonów.</w:t>
            </w:r>
          </w:p>
          <w:p w:rsidR="000D0175" w:rsidRDefault="000D0175" w:rsidP="000D0175">
            <w:pPr>
              <w:spacing w:line="240" w:lineRule="auto"/>
              <w:jc w:val="both"/>
              <w:rPr>
                <w:rFonts w:ascii="Times New Roman" w:hAnsi="Times New Roman"/>
                <w:color w:val="000000"/>
                <w:spacing w:val="-2"/>
              </w:rPr>
            </w:pPr>
            <w:r w:rsidRPr="00A919E1">
              <w:rPr>
                <w:rFonts w:ascii="Times New Roman" w:hAnsi="Times New Roman"/>
                <w:color w:val="000000"/>
                <w:spacing w:val="-2"/>
              </w:rPr>
              <w:t>Inwentaryzacja budynku nie będzie podlegać żadnej opłacie – nie wpływa więc na sytuację finansową mieszkańców budynków.</w:t>
            </w:r>
            <w:r>
              <w:rPr>
                <w:rFonts w:ascii="Times New Roman" w:hAnsi="Times New Roman"/>
                <w:color w:val="000000"/>
                <w:spacing w:val="-2"/>
              </w:rPr>
              <w:t xml:space="preserve"> Jednocześnie wpływ projektu na osoby starsze i osoby niepełnosprawne będzie analogiczny jak na pozostałe osoby, stosownie do powyższego opisu. </w:t>
            </w:r>
          </w:p>
          <w:p w:rsidR="000D0175" w:rsidRPr="00A919E1" w:rsidRDefault="000D0175" w:rsidP="000D0175">
            <w:pPr>
              <w:spacing w:line="240" w:lineRule="auto"/>
              <w:jc w:val="both"/>
              <w:rPr>
                <w:rFonts w:ascii="Times New Roman" w:hAnsi="Times New Roman"/>
                <w:color w:val="000000"/>
                <w:spacing w:val="-2"/>
              </w:rPr>
            </w:pPr>
          </w:p>
        </w:tc>
      </w:tr>
      <w:tr w:rsidR="000D0175" w:rsidRPr="008B4FE6" w:rsidTr="00481F21">
        <w:trPr>
          <w:gridAfter w:val="1"/>
          <w:wAfter w:w="9" w:type="dxa"/>
          <w:trHeight w:val="240"/>
        </w:trPr>
        <w:tc>
          <w:tcPr>
            <w:tcW w:w="1401" w:type="dxa"/>
            <w:vMerge/>
            <w:shd w:val="clear" w:color="auto" w:fill="FFFFFF"/>
          </w:tcPr>
          <w:p w:rsidR="000D0175" w:rsidRPr="00301959" w:rsidRDefault="000D0175" w:rsidP="000D0175">
            <w:pPr>
              <w:spacing w:line="240" w:lineRule="auto"/>
              <w:rPr>
                <w:rFonts w:ascii="Times New Roman" w:hAnsi="Times New Roman"/>
                <w:color w:val="000000"/>
                <w:sz w:val="21"/>
                <w:szCs w:val="21"/>
              </w:rPr>
            </w:pPr>
          </w:p>
        </w:tc>
        <w:tc>
          <w:tcPr>
            <w:tcW w:w="1984" w:type="dxa"/>
            <w:gridSpan w:val="4"/>
            <w:shd w:val="clear" w:color="auto" w:fill="FFFFFF"/>
          </w:tcPr>
          <w:p w:rsidR="000D0175" w:rsidRPr="00301959" w:rsidRDefault="00A91DF8" w:rsidP="000D0175">
            <w:pPr>
              <w:tabs>
                <w:tab w:val="right" w:pos="1936"/>
              </w:tabs>
              <w:rPr>
                <w:rFonts w:ascii="Times New Roman" w:hAnsi="Times New Roman"/>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000D0175"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000D0175"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553" w:type="dxa"/>
            <w:gridSpan w:val="11"/>
            <w:shd w:val="clear" w:color="auto" w:fill="FFFFFF"/>
          </w:tcPr>
          <w:p w:rsidR="000D0175" w:rsidRPr="00B37C80" w:rsidRDefault="000D0175" w:rsidP="000D0175">
            <w:pPr>
              <w:tabs>
                <w:tab w:val="left" w:pos="3000"/>
              </w:tabs>
              <w:rPr>
                <w:rFonts w:ascii="Times New Roman" w:hAnsi="Times New Roman"/>
                <w:color w:val="000000"/>
                <w:spacing w:val="-2"/>
                <w:sz w:val="21"/>
                <w:szCs w:val="21"/>
              </w:rPr>
            </w:pPr>
          </w:p>
        </w:tc>
      </w:tr>
      <w:tr w:rsidR="000D0175" w:rsidRPr="008B4FE6" w:rsidTr="00481F21">
        <w:trPr>
          <w:gridAfter w:val="1"/>
          <w:wAfter w:w="9" w:type="dxa"/>
          <w:trHeight w:val="142"/>
        </w:trPr>
        <w:tc>
          <w:tcPr>
            <w:tcW w:w="1401" w:type="dxa"/>
            <w:vMerge w:val="restart"/>
            <w:shd w:val="clear" w:color="auto" w:fill="FFFFFF"/>
          </w:tcPr>
          <w:p w:rsidR="000D0175" w:rsidRPr="00301959" w:rsidRDefault="000D0175" w:rsidP="000D0175">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1984" w:type="dxa"/>
            <w:gridSpan w:val="4"/>
            <w:shd w:val="clear" w:color="auto" w:fill="FFFFFF"/>
          </w:tcPr>
          <w:p w:rsidR="000D0175" w:rsidRPr="00301959" w:rsidRDefault="00A91DF8" w:rsidP="000D0175">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000D0175"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000D0175"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553" w:type="dxa"/>
            <w:gridSpan w:val="11"/>
            <w:shd w:val="clear" w:color="auto" w:fill="FFFFFF"/>
          </w:tcPr>
          <w:p w:rsidR="000D0175" w:rsidRPr="00B37C80" w:rsidRDefault="000D0175" w:rsidP="000D0175">
            <w:pPr>
              <w:spacing w:line="240" w:lineRule="auto"/>
              <w:rPr>
                <w:rFonts w:ascii="Times New Roman" w:hAnsi="Times New Roman"/>
                <w:color w:val="000000"/>
                <w:spacing w:val="-2"/>
                <w:sz w:val="21"/>
                <w:szCs w:val="21"/>
              </w:rPr>
            </w:pPr>
          </w:p>
        </w:tc>
      </w:tr>
      <w:tr w:rsidR="000D0175" w:rsidRPr="008B4FE6" w:rsidTr="00481F21">
        <w:trPr>
          <w:gridAfter w:val="1"/>
          <w:wAfter w:w="9" w:type="dxa"/>
          <w:trHeight w:val="142"/>
        </w:trPr>
        <w:tc>
          <w:tcPr>
            <w:tcW w:w="1401" w:type="dxa"/>
            <w:vMerge/>
            <w:shd w:val="clear" w:color="auto" w:fill="FFFFFF"/>
          </w:tcPr>
          <w:p w:rsidR="000D0175" w:rsidRPr="00301959" w:rsidRDefault="000D0175" w:rsidP="000D0175">
            <w:pPr>
              <w:spacing w:line="240" w:lineRule="auto"/>
              <w:rPr>
                <w:rFonts w:ascii="Times New Roman" w:hAnsi="Times New Roman"/>
                <w:color w:val="000000"/>
                <w:sz w:val="21"/>
                <w:szCs w:val="21"/>
              </w:rPr>
            </w:pPr>
          </w:p>
        </w:tc>
        <w:tc>
          <w:tcPr>
            <w:tcW w:w="1984" w:type="dxa"/>
            <w:gridSpan w:val="4"/>
            <w:shd w:val="clear" w:color="auto" w:fill="FFFFFF"/>
          </w:tcPr>
          <w:p w:rsidR="000D0175" w:rsidRPr="00301959" w:rsidRDefault="00A91DF8" w:rsidP="000D0175">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000D0175"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000D0175"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553" w:type="dxa"/>
            <w:gridSpan w:val="11"/>
            <w:shd w:val="clear" w:color="auto" w:fill="FFFFFF"/>
          </w:tcPr>
          <w:p w:rsidR="000D0175" w:rsidRPr="00B37C80" w:rsidRDefault="000D0175" w:rsidP="000D0175">
            <w:pPr>
              <w:spacing w:line="240" w:lineRule="auto"/>
              <w:rPr>
                <w:rFonts w:ascii="Times New Roman" w:hAnsi="Times New Roman"/>
                <w:color w:val="000000"/>
                <w:spacing w:val="-2"/>
                <w:sz w:val="21"/>
                <w:szCs w:val="21"/>
              </w:rPr>
            </w:pPr>
          </w:p>
        </w:tc>
      </w:tr>
      <w:tr w:rsidR="000D0175" w:rsidRPr="008B4FE6" w:rsidTr="00481F21">
        <w:trPr>
          <w:gridAfter w:val="1"/>
          <w:wAfter w:w="9" w:type="dxa"/>
          <w:trHeight w:val="1643"/>
        </w:trPr>
        <w:tc>
          <w:tcPr>
            <w:tcW w:w="1956" w:type="dxa"/>
            <w:gridSpan w:val="2"/>
            <w:shd w:val="clear" w:color="auto" w:fill="FFFFFF"/>
          </w:tcPr>
          <w:p w:rsidR="000D0175" w:rsidRPr="00A919E1" w:rsidRDefault="000D0175" w:rsidP="000D0175">
            <w:pPr>
              <w:spacing w:line="240" w:lineRule="auto"/>
              <w:rPr>
                <w:rFonts w:ascii="Times New Roman" w:hAnsi="Times New Roman"/>
                <w:color w:val="000000"/>
              </w:rPr>
            </w:pPr>
            <w:r w:rsidRPr="00A919E1">
              <w:rPr>
                <w:rFonts w:ascii="Times New Roman" w:hAnsi="Times New Roman"/>
                <w:color w:val="000000"/>
              </w:rPr>
              <w:t xml:space="preserve">Dodatkowe informacje, w tym wskazanie źródeł danych i przyjętych do obliczeń założeń </w:t>
            </w:r>
          </w:p>
        </w:tc>
        <w:tc>
          <w:tcPr>
            <w:tcW w:w="8982" w:type="dxa"/>
            <w:gridSpan w:val="14"/>
            <w:shd w:val="clear" w:color="auto" w:fill="FFFFFF"/>
            <w:vAlign w:val="center"/>
          </w:tcPr>
          <w:p w:rsidR="000D0175" w:rsidRPr="00A919E1" w:rsidRDefault="000D0175" w:rsidP="000D0175">
            <w:pPr>
              <w:spacing w:line="240" w:lineRule="auto"/>
              <w:jc w:val="both"/>
              <w:rPr>
                <w:rFonts w:ascii="Times New Roman" w:hAnsi="Times New Roman"/>
                <w:color w:val="000000"/>
              </w:rPr>
            </w:pPr>
            <w:r w:rsidRPr="00A919E1">
              <w:rPr>
                <w:rFonts w:ascii="Times New Roman" w:hAnsi="Times New Roman"/>
                <w:color w:val="000000"/>
              </w:rPr>
              <w:t xml:space="preserve">Inwentaryzacja będzie dokonywana przez uprawnione osoby działające w imieniu i na rzecz Państwa – albo przez funkcjonariuszy administracji publicznej (straż gminna/miejska, inspektorzy Inspekcji Ochrony Środowiska) albo przez osoby, którym Państwo zleciło wykonywanie ustawowych czynności w postaci np. wykonywania okresowych przeglądów kominowych na podstawie art. 62 ust. 1 pkt 1 </w:t>
            </w:r>
            <w:r>
              <w:rPr>
                <w:rFonts w:ascii="Times New Roman" w:hAnsi="Times New Roman"/>
                <w:color w:val="000000"/>
              </w:rPr>
              <w:t xml:space="preserve">lit. c </w:t>
            </w:r>
            <w:r w:rsidRPr="00A919E1">
              <w:rPr>
                <w:rFonts w:ascii="Times New Roman" w:hAnsi="Times New Roman"/>
                <w:color w:val="000000"/>
              </w:rPr>
              <w:t xml:space="preserve">w zw. z ust. 6 pkt 1 ustawy </w:t>
            </w:r>
            <w:r w:rsidRPr="00076EA8">
              <w:rPr>
                <w:rFonts w:ascii="Times New Roman" w:hAnsi="Times New Roman"/>
                <w:color w:val="000000"/>
              </w:rPr>
              <w:t>–</w:t>
            </w:r>
            <w:r>
              <w:rPr>
                <w:rFonts w:ascii="Times New Roman" w:hAnsi="Times New Roman"/>
                <w:color w:val="000000"/>
              </w:rPr>
              <w:t xml:space="preserve"> </w:t>
            </w:r>
            <w:r w:rsidRPr="00A919E1">
              <w:rPr>
                <w:rFonts w:ascii="Times New Roman" w:hAnsi="Times New Roman"/>
                <w:color w:val="000000"/>
              </w:rPr>
              <w:t>Prawo budowlane. Nie przewiduje się zatem możliwości „ukrycia” złego stanu kotła/pieca, zwłaszcza z uwagi na przewidziane w rozwiązaniu informatycznym mechanizmy, które stwarzają narzędzie do weryfikacji określanych przez osoby uprawnione rodzajów kotłów/pieców, które będą poddawane systemowej ocenie i bieżącym aktualizacjom. Rozwiązanie to nie będzie ani mniej ani bardziej korupcjogenne niż dowolna czynność wykonywana przez funkcjonariuszy państwowych lub osoby uprawnione do wykonywania poszczególnych czynności na rzecz Państwa np. podczas kontrol</w:t>
            </w:r>
            <w:r>
              <w:rPr>
                <w:rFonts w:ascii="Times New Roman" w:hAnsi="Times New Roman"/>
                <w:color w:val="000000"/>
              </w:rPr>
              <w:t>i</w:t>
            </w:r>
            <w:r w:rsidRPr="00A919E1">
              <w:rPr>
                <w:rFonts w:ascii="Times New Roman" w:hAnsi="Times New Roman"/>
                <w:color w:val="000000"/>
              </w:rPr>
              <w:t xml:space="preserve"> drogowej.</w:t>
            </w:r>
          </w:p>
          <w:p w:rsidR="000D0175" w:rsidRPr="00A919E1" w:rsidRDefault="000D0175" w:rsidP="000D0175">
            <w:pPr>
              <w:spacing w:line="240" w:lineRule="auto"/>
              <w:jc w:val="both"/>
              <w:rPr>
                <w:rFonts w:ascii="Times New Roman" w:hAnsi="Times New Roman"/>
                <w:color w:val="000000"/>
              </w:rPr>
            </w:pPr>
            <w:r w:rsidRPr="00A919E1">
              <w:rPr>
                <w:rFonts w:ascii="Times New Roman" w:hAnsi="Times New Roman"/>
                <w:color w:val="000000"/>
              </w:rPr>
              <w:t xml:space="preserve">Przewiduje się stworzenie procedury wyjaśniania niezgodności danych wprowadzanych do </w:t>
            </w:r>
            <w:r>
              <w:rPr>
                <w:rFonts w:ascii="Times New Roman" w:hAnsi="Times New Roman"/>
                <w:color w:val="000000"/>
                <w:spacing w:val="-2"/>
              </w:rPr>
              <w:t>CEEB</w:t>
            </w:r>
            <w:r w:rsidRPr="00A919E1">
              <w:rPr>
                <w:rFonts w:ascii="Times New Roman" w:hAnsi="Times New Roman"/>
                <w:color w:val="000000"/>
              </w:rPr>
              <w:t xml:space="preserve">, która zostanie opublikowana na stronie Biuletynu Informacji Publicznej. Określone zostaną wewnętrzne procedury dokonywania zgłoszeń w przypadku stwierdzenia niezgodności danych, tryb ich przekazywania, rozwiązywania i powiadamiania zgłaszającego. Moduł wyjaśniania niezgodności zostanie zaimplementowany w rozwiązaniu informatycznym. </w:t>
            </w:r>
          </w:p>
          <w:p w:rsidR="000D0175" w:rsidRDefault="000D0175" w:rsidP="000D0175">
            <w:pPr>
              <w:spacing w:line="240" w:lineRule="auto"/>
              <w:jc w:val="both"/>
              <w:rPr>
                <w:rFonts w:ascii="Times New Roman" w:hAnsi="Times New Roman"/>
                <w:color w:val="000000"/>
              </w:rPr>
            </w:pPr>
            <w:r w:rsidRPr="00A919E1">
              <w:rPr>
                <w:rFonts w:ascii="Times New Roman" w:hAnsi="Times New Roman"/>
                <w:color w:val="000000"/>
              </w:rPr>
              <w:t>Projektowane rozwiązanie zakłada przetwarzani</w:t>
            </w:r>
            <w:r>
              <w:rPr>
                <w:rFonts w:ascii="Times New Roman" w:hAnsi="Times New Roman"/>
                <w:color w:val="000000"/>
              </w:rPr>
              <w:t>e</w:t>
            </w:r>
            <w:r w:rsidRPr="00A919E1">
              <w:rPr>
                <w:rFonts w:ascii="Times New Roman" w:hAnsi="Times New Roman"/>
                <w:color w:val="000000"/>
              </w:rPr>
              <w:t xml:space="preserve"> danych osobowych</w:t>
            </w:r>
            <w:r>
              <w:rPr>
                <w:rFonts w:ascii="Times New Roman" w:hAnsi="Times New Roman"/>
                <w:color w:val="000000"/>
              </w:rPr>
              <w:t xml:space="preserve"> </w:t>
            </w:r>
            <w:r w:rsidRPr="00A04E07">
              <w:rPr>
                <w:rFonts w:ascii="Times New Roman" w:hAnsi="Times New Roman"/>
                <w:color w:val="000000"/>
              </w:rPr>
              <w:t xml:space="preserve">właścicieli i zarządców budynków oraz osób wpisanych do wykazu osób uprawnionych. </w:t>
            </w:r>
            <w:r w:rsidR="00B269D7" w:rsidRPr="00B269D7">
              <w:rPr>
                <w:rFonts w:ascii="Times New Roman" w:hAnsi="Times New Roman"/>
                <w:color w:val="000000"/>
              </w:rPr>
              <w:t xml:space="preserve">Zaproponowany wstępnie zakres danych realizuje  tzw. zasadę ,,minimalizacji” danych określoną w art. 5 ust. 1 lit. c rozporządzenia Parlamentu Europejskiego i Rady (UE) 2016/679 z dnia 27 kwietnia 2016 r. w sprawie ochrony osób fizycznych w związku z przetwarzaniem danych osobowych i w sprawie swobodnego przepływu takich danych oraz uchylenia dyrektywy 95/46/WE, która stanowi, że dane osobowe muszą być adekwatne, stosowne oraz ograniczone do tego co niezbędne do celów, w których są przetwarzane. Zasadniczym celem budowanej ewidencji jest gromadzenie danych w zakresie budynków, również w zakresie przyznawanych środków finansowych publicznych na ich szeroko rozumianą termomodernizację. </w:t>
            </w:r>
            <w:r w:rsidRPr="00F84869">
              <w:rPr>
                <w:rFonts w:ascii="Times New Roman" w:hAnsi="Times New Roman"/>
              </w:rPr>
              <w:t>Zakres danych osobowych gromadzonych w CEEB związanych z właścicielami i zarządc</w:t>
            </w:r>
            <w:r>
              <w:rPr>
                <w:rFonts w:ascii="Times New Roman" w:hAnsi="Times New Roman"/>
              </w:rPr>
              <w:t>ami</w:t>
            </w:r>
            <w:r w:rsidRPr="00F84869">
              <w:rPr>
                <w:rFonts w:ascii="Times New Roman" w:hAnsi="Times New Roman"/>
              </w:rPr>
              <w:t xml:space="preserve"> budynków, dotyczy takich danych jak: imię i nazwisko, adres zamieszkania, adres do korespondencji, adres poczty elektronicznej oraz numer telefonu.</w:t>
            </w:r>
            <w:r w:rsidR="00A91DF8" w:rsidRPr="00A91DF8">
              <w:rPr>
                <w:rFonts w:ascii="Times New Roman" w:hAnsi="Times New Roman"/>
              </w:rPr>
              <w:t xml:space="preserve"> </w:t>
            </w:r>
            <w:r w:rsidRPr="00A919E1">
              <w:rPr>
                <w:rFonts w:ascii="Times New Roman" w:hAnsi="Times New Roman"/>
                <w:color w:val="000000"/>
              </w:rPr>
              <w:t xml:space="preserve">Z punktu widzenia </w:t>
            </w:r>
            <w:r>
              <w:rPr>
                <w:rFonts w:ascii="Times New Roman" w:hAnsi="Times New Roman"/>
                <w:color w:val="000000"/>
                <w:spacing w:val="-2"/>
              </w:rPr>
              <w:t>CEEB</w:t>
            </w:r>
            <w:r w:rsidRPr="00A919E1">
              <w:rPr>
                <w:rFonts w:ascii="Times New Roman" w:hAnsi="Times New Roman"/>
                <w:color w:val="000000"/>
              </w:rPr>
              <w:t xml:space="preserve"> najistotniejszymi pozostają informacje związane z samym budynkiem</w:t>
            </w:r>
            <w:r>
              <w:rPr>
                <w:rFonts w:ascii="Times New Roman" w:hAnsi="Times New Roman"/>
                <w:color w:val="000000"/>
              </w:rPr>
              <w:t xml:space="preserve"> i źródłami jego ogrzewania</w:t>
            </w:r>
            <w:r w:rsidRPr="00A919E1">
              <w:rPr>
                <w:rFonts w:ascii="Times New Roman" w:hAnsi="Times New Roman"/>
                <w:color w:val="000000"/>
              </w:rPr>
              <w:t xml:space="preserve">, niezależnie od faktu zamieszkiwania </w:t>
            </w:r>
            <w:r>
              <w:rPr>
                <w:rFonts w:ascii="Times New Roman" w:hAnsi="Times New Roman"/>
                <w:color w:val="000000"/>
              </w:rPr>
              <w:t xml:space="preserve">budynku </w:t>
            </w:r>
            <w:r w:rsidRPr="00A919E1">
              <w:rPr>
                <w:rFonts w:ascii="Times New Roman" w:hAnsi="Times New Roman"/>
                <w:color w:val="000000"/>
              </w:rPr>
              <w:t xml:space="preserve">przez określone osoby. Dane osobowe będą gromadzone w </w:t>
            </w:r>
            <w:r>
              <w:rPr>
                <w:rFonts w:ascii="Times New Roman" w:hAnsi="Times New Roman"/>
                <w:color w:val="000000"/>
                <w:spacing w:val="-2"/>
              </w:rPr>
              <w:t>CEEB</w:t>
            </w:r>
            <w:r w:rsidR="00A91DF8" w:rsidRPr="00A91DF8">
              <w:rPr>
                <w:rFonts w:ascii="Times New Roman" w:hAnsi="Times New Roman"/>
                <w:color w:val="000000"/>
                <w:spacing w:val="-2"/>
              </w:rPr>
              <w:t xml:space="preserve"> </w:t>
            </w:r>
            <w:r w:rsidR="00B269D7">
              <w:rPr>
                <w:rFonts w:ascii="Times New Roman" w:hAnsi="Times New Roman"/>
                <w:color w:val="000000"/>
                <w:spacing w:val="-2"/>
              </w:rPr>
              <w:t>również</w:t>
            </w:r>
            <w:r w:rsidRPr="00A919E1">
              <w:rPr>
                <w:rFonts w:ascii="Times New Roman" w:hAnsi="Times New Roman"/>
                <w:color w:val="000000"/>
              </w:rPr>
              <w:t xml:space="preserve"> w przypadku osób wpisanych do wykazu osób uprawnionych, tj. imię i nazwisko</w:t>
            </w:r>
            <w:r>
              <w:rPr>
                <w:rFonts w:ascii="Times New Roman" w:hAnsi="Times New Roman"/>
                <w:color w:val="000000"/>
              </w:rPr>
              <w:t>,</w:t>
            </w:r>
            <w:r w:rsidRPr="00A919E1">
              <w:rPr>
                <w:rFonts w:ascii="Times New Roman" w:hAnsi="Times New Roman"/>
                <w:color w:val="000000"/>
              </w:rPr>
              <w:t xml:space="preserve"> adres do korespondencji</w:t>
            </w:r>
            <w:r>
              <w:rPr>
                <w:rFonts w:ascii="Times New Roman" w:hAnsi="Times New Roman"/>
                <w:color w:val="000000"/>
              </w:rPr>
              <w:t>,</w:t>
            </w:r>
            <w:r w:rsidRPr="00A919E1">
              <w:rPr>
                <w:rFonts w:ascii="Times New Roman" w:hAnsi="Times New Roman"/>
                <w:color w:val="000000"/>
              </w:rPr>
              <w:t xml:space="preserve"> adres poczty elektronicznej</w:t>
            </w:r>
            <w:r>
              <w:rPr>
                <w:rFonts w:ascii="Times New Roman" w:hAnsi="Times New Roman"/>
                <w:color w:val="000000"/>
              </w:rPr>
              <w:t>,</w:t>
            </w:r>
            <w:r w:rsidRPr="00A919E1">
              <w:rPr>
                <w:rFonts w:ascii="Times New Roman" w:hAnsi="Times New Roman"/>
                <w:color w:val="000000"/>
              </w:rPr>
              <w:t xml:space="preserve"> numer, specjalność i zakres uprawnień budowlanych; numer odpowiednich kwalifikacji w rzemiośle kominiarskim; numer uprawnień potwierdzający posiadanie kwalifikacji wymaganej przy wykonywaniu dozoru nad eksploatacją urządzeń wytwarzających, przetwarzających, przesyłających i zużywających ciepło oraz innych urządzeń energetycznych; numer legitymacji służbowej lub upoważnienia</w:t>
            </w:r>
            <w:r>
              <w:rPr>
                <w:rFonts w:ascii="Times New Roman" w:hAnsi="Times New Roman"/>
                <w:color w:val="000000"/>
              </w:rPr>
              <w:t>, datę ich wydania</w:t>
            </w:r>
            <w:r w:rsidRPr="00A919E1">
              <w:rPr>
                <w:rFonts w:ascii="Times New Roman" w:hAnsi="Times New Roman"/>
                <w:color w:val="000000"/>
              </w:rPr>
              <w:t xml:space="preserve"> oraz identyfikator systemowy (numer wpisu do wykazu) oraz da</w:t>
            </w:r>
            <w:r>
              <w:rPr>
                <w:rFonts w:ascii="Times New Roman" w:hAnsi="Times New Roman"/>
                <w:color w:val="000000"/>
              </w:rPr>
              <w:t>tę</w:t>
            </w:r>
            <w:r w:rsidRPr="00A919E1">
              <w:rPr>
                <w:rFonts w:ascii="Times New Roman" w:hAnsi="Times New Roman"/>
                <w:color w:val="000000"/>
              </w:rPr>
              <w:t xml:space="preserve"> jego nadania.</w:t>
            </w:r>
          </w:p>
          <w:p w:rsidR="000D0175" w:rsidRDefault="000D0175" w:rsidP="000D0175">
            <w:pPr>
              <w:spacing w:line="240" w:lineRule="auto"/>
              <w:jc w:val="both"/>
              <w:rPr>
                <w:rFonts w:ascii="Times New Roman" w:hAnsi="Times New Roman"/>
              </w:rPr>
            </w:pPr>
            <w:r w:rsidRPr="009E518B">
              <w:rPr>
                <w:rFonts w:ascii="Times New Roman" w:hAnsi="Times New Roman"/>
                <w:color w:val="000000"/>
                <w:spacing w:val="-2"/>
              </w:rPr>
              <w:lastRenderedPageBreak/>
              <w:t xml:space="preserve">W zakresie Programu Stop Smog, biorąc pod uwagę, że projektowana zmiana ma charakter jedynie nowelizacji obecnej podstawy prawnej realizacji Programu, nie przewiduje się zmian w zakresie wpływu na konkurencyjności gospodarki i przedsiębiorczości. W związku z powyższym powyższy opis dotyczy jedynie regulacji obejmującej </w:t>
            </w:r>
            <w:r w:rsidRPr="009E518B">
              <w:rPr>
                <w:rFonts w:ascii="Times New Roman" w:hAnsi="Times New Roman"/>
              </w:rPr>
              <w:t>uruchomienie systemu informatycznego, służącego m.in. do obsługi C</w:t>
            </w:r>
            <w:r>
              <w:rPr>
                <w:rFonts w:ascii="Times New Roman" w:hAnsi="Times New Roman"/>
              </w:rPr>
              <w:t>EEB</w:t>
            </w:r>
            <w:r w:rsidRPr="009E518B">
              <w:rPr>
                <w:rFonts w:ascii="Times New Roman" w:hAnsi="Times New Roman"/>
              </w:rPr>
              <w:t>.</w:t>
            </w:r>
          </w:p>
          <w:p w:rsidR="000D0175" w:rsidRPr="009E518B" w:rsidRDefault="000D0175" w:rsidP="000D0175">
            <w:pPr>
              <w:spacing w:line="240" w:lineRule="auto"/>
              <w:jc w:val="both"/>
              <w:rPr>
                <w:rFonts w:ascii="Times New Roman" w:hAnsi="Times New Roman"/>
                <w:color w:val="000000"/>
              </w:rPr>
            </w:pPr>
            <w:r w:rsidRPr="00AB6675">
              <w:rPr>
                <w:rFonts w:ascii="Times New Roman" w:hAnsi="Times New Roman"/>
                <w:sz w:val="24"/>
                <w:szCs w:val="24"/>
              </w:rPr>
              <w:t xml:space="preserve"> Wprowadzane usprawnienia </w:t>
            </w:r>
            <w:r>
              <w:rPr>
                <w:rFonts w:ascii="Times New Roman" w:hAnsi="Times New Roman"/>
                <w:sz w:val="24"/>
                <w:szCs w:val="24"/>
              </w:rPr>
              <w:t>rządowego p</w:t>
            </w:r>
            <w:r w:rsidRPr="00AB6675">
              <w:rPr>
                <w:rFonts w:ascii="Times New Roman" w:hAnsi="Times New Roman"/>
                <w:sz w:val="24"/>
                <w:szCs w:val="24"/>
              </w:rPr>
              <w:t xml:space="preserve">rogramu </w:t>
            </w:r>
            <w:r>
              <w:rPr>
                <w:rFonts w:ascii="Times New Roman" w:hAnsi="Times New Roman"/>
                <w:sz w:val="24"/>
                <w:szCs w:val="24"/>
              </w:rPr>
              <w:t>priorytetowego „</w:t>
            </w:r>
            <w:r w:rsidRPr="00AB6675">
              <w:rPr>
                <w:rFonts w:ascii="Times New Roman" w:hAnsi="Times New Roman"/>
                <w:sz w:val="24"/>
                <w:szCs w:val="24"/>
              </w:rPr>
              <w:t>Czyste Powietrze</w:t>
            </w:r>
            <w:r>
              <w:rPr>
                <w:rFonts w:ascii="Times New Roman" w:hAnsi="Times New Roman"/>
                <w:sz w:val="24"/>
                <w:szCs w:val="24"/>
              </w:rPr>
              <w:t>”</w:t>
            </w:r>
            <w:r w:rsidRPr="00AB6675">
              <w:rPr>
                <w:rFonts w:ascii="Times New Roman" w:hAnsi="Times New Roman"/>
                <w:sz w:val="24"/>
                <w:szCs w:val="24"/>
              </w:rPr>
              <w:t xml:space="preserve"> mają na celu zwiększenie jego dostępności, dlatego </w:t>
            </w:r>
            <w:r w:rsidRPr="00AB6675">
              <w:rPr>
                <w:rFonts w:ascii="Times New Roman" w:hAnsi="Times New Roman"/>
                <w:color w:val="000000"/>
                <w:spacing w:val="-2"/>
              </w:rPr>
              <w:t>nie mają one bezpośredniego wpływu na konkurencyjności gospodarki i przedsiębiorczość.</w:t>
            </w:r>
          </w:p>
        </w:tc>
      </w:tr>
      <w:tr w:rsidR="000D0175" w:rsidRPr="008B4FE6" w:rsidTr="00481F21">
        <w:trPr>
          <w:gridAfter w:val="1"/>
          <w:wAfter w:w="9" w:type="dxa"/>
          <w:trHeight w:val="342"/>
        </w:trPr>
        <w:tc>
          <w:tcPr>
            <w:tcW w:w="10938" w:type="dxa"/>
            <w:gridSpan w:val="16"/>
            <w:shd w:val="clear" w:color="auto" w:fill="99CCFF"/>
            <w:vAlign w:val="center"/>
          </w:tcPr>
          <w:p w:rsidR="000D0175" w:rsidRPr="00A919E1" w:rsidRDefault="000D0175" w:rsidP="000D0175">
            <w:pPr>
              <w:numPr>
                <w:ilvl w:val="0"/>
                <w:numId w:val="3"/>
              </w:numPr>
              <w:spacing w:before="60" w:after="60" w:line="240" w:lineRule="auto"/>
              <w:ind w:left="318" w:hanging="284"/>
              <w:jc w:val="both"/>
              <w:rPr>
                <w:rFonts w:ascii="Times New Roman" w:hAnsi="Times New Roman"/>
                <w:b/>
                <w:color w:val="000000"/>
              </w:rPr>
            </w:pPr>
            <w:r w:rsidRPr="00A919E1">
              <w:rPr>
                <w:rFonts w:ascii="Times New Roman" w:hAnsi="Times New Roman"/>
                <w:b/>
                <w:color w:val="000000"/>
              </w:rPr>
              <w:lastRenderedPageBreak/>
              <w:t xml:space="preserve"> Zmiana obciążeń regulacyjnych (w tym obowiązków informacyjnych) wynikających z projektu</w:t>
            </w:r>
          </w:p>
        </w:tc>
      </w:tr>
      <w:tr w:rsidR="000D0175" w:rsidRPr="008B4FE6" w:rsidTr="00481F21">
        <w:trPr>
          <w:gridAfter w:val="1"/>
          <w:wAfter w:w="9" w:type="dxa"/>
          <w:trHeight w:val="151"/>
        </w:trPr>
        <w:tc>
          <w:tcPr>
            <w:tcW w:w="10938" w:type="dxa"/>
            <w:gridSpan w:val="16"/>
            <w:shd w:val="clear" w:color="auto" w:fill="FFFFFF"/>
          </w:tcPr>
          <w:p w:rsidR="000D0175" w:rsidRPr="00A919E1" w:rsidRDefault="001D323E" w:rsidP="000D0175">
            <w:pPr>
              <w:spacing w:line="240" w:lineRule="auto"/>
              <w:rPr>
                <w:rFonts w:ascii="Times New Roman" w:hAnsi="Times New Roman"/>
                <w:color w:val="000000"/>
              </w:rPr>
            </w:pPr>
            <w:sdt>
              <w:sdtPr>
                <w:rPr>
                  <w:rFonts w:ascii="Times New Roman" w:hAnsi="Times New Roman"/>
                  <w:color w:val="000000"/>
                  <w:spacing w:val="-2"/>
                </w:rPr>
                <w:id w:val="1930998347"/>
              </w:sdtPr>
              <w:sdtEndPr/>
              <w:sdtContent>
                <w:r w:rsidR="000D0175" w:rsidRPr="00A919E1">
                  <w:rPr>
                    <w:rFonts w:ascii="MS Gothic" w:eastAsia="MS Gothic" w:hAnsi="MS Gothic" w:hint="eastAsia"/>
                    <w:color w:val="000000"/>
                    <w:spacing w:val="-2"/>
                  </w:rPr>
                  <w:t>☐</w:t>
                </w:r>
              </w:sdtContent>
            </w:sdt>
            <w:r w:rsidR="000D0175" w:rsidRPr="00A919E1">
              <w:rPr>
                <w:rFonts w:ascii="Times New Roman" w:hAnsi="Times New Roman"/>
                <w:color w:val="000000"/>
                <w:spacing w:val="-2"/>
              </w:rPr>
              <w:t xml:space="preserve"> nie dotyczy</w:t>
            </w:r>
          </w:p>
        </w:tc>
      </w:tr>
      <w:tr w:rsidR="000D0175" w:rsidRPr="008B4FE6" w:rsidTr="00481F21">
        <w:trPr>
          <w:gridAfter w:val="1"/>
          <w:wAfter w:w="9" w:type="dxa"/>
          <w:trHeight w:val="946"/>
        </w:trPr>
        <w:tc>
          <w:tcPr>
            <w:tcW w:w="4715" w:type="dxa"/>
            <w:gridSpan w:val="7"/>
            <w:shd w:val="clear" w:color="auto" w:fill="FFFFFF"/>
          </w:tcPr>
          <w:p w:rsidR="000D0175" w:rsidRPr="00A919E1" w:rsidRDefault="000D0175" w:rsidP="000D0175">
            <w:pPr>
              <w:rPr>
                <w:rFonts w:ascii="Times New Roman" w:hAnsi="Times New Roman"/>
                <w:color w:val="000000"/>
                <w:spacing w:val="-2"/>
              </w:rPr>
            </w:pPr>
            <w:r w:rsidRPr="00A919E1">
              <w:rPr>
                <w:rFonts w:ascii="Times New Roman" w:hAnsi="Times New Roman"/>
                <w:color w:val="000000"/>
                <w:spacing w:val="-2"/>
              </w:rPr>
              <w:t xml:space="preserve">Wprowadzane są obciążenia poza bezwzględnie wymaganymi przez UE </w:t>
            </w:r>
            <w:r w:rsidRPr="00A919E1">
              <w:rPr>
                <w:rFonts w:ascii="Times New Roman" w:hAnsi="Times New Roman"/>
                <w:color w:val="000000"/>
              </w:rPr>
              <w:t>(szczegóły w odwróconej tabeli zgodności).</w:t>
            </w:r>
          </w:p>
        </w:tc>
        <w:tc>
          <w:tcPr>
            <w:tcW w:w="6223" w:type="dxa"/>
            <w:gridSpan w:val="9"/>
            <w:shd w:val="clear" w:color="auto" w:fill="FFFFFF"/>
          </w:tcPr>
          <w:p w:rsidR="000D0175" w:rsidRPr="00A919E1" w:rsidRDefault="001D323E" w:rsidP="000D0175">
            <w:pPr>
              <w:spacing w:line="240" w:lineRule="auto"/>
              <w:rPr>
                <w:rFonts w:ascii="Times New Roman" w:hAnsi="Times New Roman"/>
                <w:color w:val="000000"/>
              </w:rPr>
            </w:pPr>
            <w:sdt>
              <w:sdtPr>
                <w:rPr>
                  <w:rFonts w:ascii="Times New Roman" w:hAnsi="Times New Roman"/>
                  <w:color w:val="000000"/>
                </w:rPr>
                <w:id w:val="-501432790"/>
              </w:sdtPr>
              <w:sdtEndPr/>
              <w:sdtContent>
                <w:r w:rsidR="000D0175" w:rsidRPr="00A919E1">
                  <w:rPr>
                    <w:rFonts w:ascii="MS Gothic" w:eastAsia="MS Gothic" w:hAnsi="MS Gothic" w:hint="eastAsia"/>
                    <w:color w:val="000000"/>
                  </w:rPr>
                  <w:t>☐</w:t>
                </w:r>
              </w:sdtContent>
            </w:sdt>
            <w:r w:rsidR="000D0175" w:rsidRPr="00A919E1">
              <w:rPr>
                <w:rFonts w:ascii="Times New Roman" w:hAnsi="Times New Roman"/>
                <w:color w:val="000000"/>
              </w:rPr>
              <w:t xml:space="preserve"> tak</w:t>
            </w:r>
          </w:p>
          <w:p w:rsidR="000D0175" w:rsidRPr="00A919E1" w:rsidRDefault="001D323E" w:rsidP="000D0175">
            <w:pPr>
              <w:spacing w:line="240" w:lineRule="auto"/>
              <w:rPr>
                <w:rFonts w:ascii="Times New Roman" w:hAnsi="Times New Roman"/>
                <w:color w:val="000000"/>
              </w:rPr>
            </w:pPr>
            <w:sdt>
              <w:sdtPr>
                <w:rPr>
                  <w:rFonts w:ascii="Times New Roman" w:hAnsi="Times New Roman"/>
                  <w:color w:val="000000"/>
                </w:rPr>
                <w:id w:val="-1774005171"/>
              </w:sdtPr>
              <w:sdtEndPr/>
              <w:sdtContent>
                <w:r w:rsidR="000D0175" w:rsidRPr="00A919E1">
                  <w:rPr>
                    <w:rFonts w:ascii="MS Gothic" w:eastAsia="MS Gothic" w:hAnsi="MS Gothic" w:hint="eastAsia"/>
                    <w:color w:val="000000"/>
                  </w:rPr>
                  <w:t>☒</w:t>
                </w:r>
              </w:sdtContent>
            </w:sdt>
            <w:r w:rsidR="000D0175" w:rsidRPr="00A919E1">
              <w:rPr>
                <w:rFonts w:ascii="Times New Roman" w:hAnsi="Times New Roman"/>
                <w:color w:val="000000"/>
              </w:rPr>
              <w:t xml:space="preserve"> nie</w:t>
            </w:r>
          </w:p>
          <w:p w:rsidR="000D0175" w:rsidRPr="00A919E1" w:rsidRDefault="001D323E" w:rsidP="000D0175">
            <w:pPr>
              <w:rPr>
                <w:rFonts w:ascii="Times New Roman" w:hAnsi="Times New Roman"/>
                <w:color w:val="000000"/>
              </w:rPr>
            </w:pPr>
            <w:sdt>
              <w:sdtPr>
                <w:rPr>
                  <w:rFonts w:ascii="Times New Roman" w:hAnsi="Times New Roman"/>
                  <w:color w:val="000000"/>
                </w:rPr>
                <w:id w:val="351533669"/>
              </w:sdtPr>
              <w:sdtEndPr/>
              <w:sdtContent>
                <w:r w:rsidR="000D0175" w:rsidRPr="00A919E1">
                  <w:rPr>
                    <w:rFonts w:ascii="MS Gothic" w:eastAsia="MS Gothic" w:hAnsi="MS Gothic" w:hint="eastAsia"/>
                    <w:color w:val="000000"/>
                  </w:rPr>
                  <w:t>☐</w:t>
                </w:r>
              </w:sdtContent>
            </w:sdt>
            <w:r w:rsidR="000D0175" w:rsidRPr="00A919E1">
              <w:rPr>
                <w:rFonts w:ascii="Times New Roman" w:hAnsi="Times New Roman"/>
                <w:color w:val="000000"/>
              </w:rPr>
              <w:t xml:space="preserve"> nie dotyczy</w:t>
            </w:r>
          </w:p>
        </w:tc>
      </w:tr>
      <w:tr w:rsidR="000D0175" w:rsidRPr="008B4FE6" w:rsidTr="00481F21">
        <w:trPr>
          <w:gridAfter w:val="1"/>
          <w:wAfter w:w="9" w:type="dxa"/>
          <w:trHeight w:val="1245"/>
        </w:trPr>
        <w:tc>
          <w:tcPr>
            <w:tcW w:w="4715" w:type="dxa"/>
            <w:gridSpan w:val="7"/>
            <w:shd w:val="clear" w:color="auto" w:fill="FFFFFF"/>
          </w:tcPr>
          <w:p w:rsidR="000D0175" w:rsidRPr="00A919E1" w:rsidRDefault="001D323E" w:rsidP="000D0175">
            <w:pPr>
              <w:spacing w:line="240" w:lineRule="auto"/>
              <w:rPr>
                <w:rFonts w:ascii="Times New Roman" w:hAnsi="Times New Roman"/>
                <w:color w:val="000000"/>
                <w:spacing w:val="-2"/>
              </w:rPr>
            </w:pPr>
            <w:sdt>
              <w:sdtPr>
                <w:rPr>
                  <w:rFonts w:ascii="Times New Roman" w:hAnsi="Times New Roman"/>
                  <w:color w:val="000000"/>
                  <w:spacing w:val="-2"/>
                </w:rPr>
                <w:id w:val="-1646118103"/>
              </w:sdtPr>
              <w:sdtEndPr/>
              <w:sdtContent>
                <w:r w:rsidR="000D0175" w:rsidRPr="00A919E1">
                  <w:rPr>
                    <w:rFonts w:ascii="MS Gothic" w:eastAsia="MS Gothic" w:hAnsi="MS Gothic" w:hint="eastAsia"/>
                    <w:color w:val="000000"/>
                    <w:spacing w:val="-2"/>
                  </w:rPr>
                  <w:t>☒</w:t>
                </w:r>
              </w:sdtContent>
            </w:sdt>
            <w:r w:rsidR="000D0175" w:rsidRPr="00A919E1">
              <w:rPr>
                <w:rFonts w:ascii="Times New Roman" w:hAnsi="Times New Roman"/>
                <w:color w:val="000000"/>
                <w:spacing w:val="-2"/>
              </w:rPr>
              <w:t xml:space="preserve"> zmniejszenie liczby dokumentów </w:t>
            </w:r>
          </w:p>
          <w:p w:rsidR="000D0175" w:rsidRPr="00A919E1" w:rsidRDefault="001D323E" w:rsidP="000D0175">
            <w:pPr>
              <w:spacing w:line="240" w:lineRule="auto"/>
              <w:rPr>
                <w:rFonts w:ascii="Times New Roman" w:hAnsi="Times New Roman"/>
                <w:color w:val="000000"/>
                <w:spacing w:val="-2"/>
              </w:rPr>
            </w:pPr>
            <w:sdt>
              <w:sdtPr>
                <w:rPr>
                  <w:rFonts w:ascii="Times New Roman" w:hAnsi="Times New Roman"/>
                  <w:color w:val="000000"/>
                  <w:spacing w:val="-2"/>
                </w:rPr>
                <w:id w:val="1876505849"/>
              </w:sdtPr>
              <w:sdtEndPr/>
              <w:sdtContent>
                <w:r w:rsidR="000D0175" w:rsidRPr="00A919E1">
                  <w:rPr>
                    <w:rFonts w:ascii="MS Gothic" w:eastAsia="MS Gothic" w:hAnsi="MS Gothic" w:hint="eastAsia"/>
                    <w:color w:val="000000"/>
                    <w:spacing w:val="-2"/>
                  </w:rPr>
                  <w:t>☒</w:t>
                </w:r>
              </w:sdtContent>
            </w:sdt>
            <w:r w:rsidR="000D0175" w:rsidRPr="00A919E1">
              <w:rPr>
                <w:rFonts w:ascii="Times New Roman" w:hAnsi="Times New Roman"/>
                <w:color w:val="000000"/>
                <w:spacing w:val="-2"/>
              </w:rPr>
              <w:t xml:space="preserve"> zmniejszenie liczby procedur</w:t>
            </w:r>
          </w:p>
          <w:p w:rsidR="000D0175" w:rsidRPr="00A919E1" w:rsidRDefault="001D323E" w:rsidP="000D0175">
            <w:pPr>
              <w:spacing w:line="240" w:lineRule="auto"/>
              <w:rPr>
                <w:rFonts w:ascii="Times New Roman" w:hAnsi="Times New Roman"/>
                <w:color w:val="000000"/>
                <w:spacing w:val="-2"/>
              </w:rPr>
            </w:pPr>
            <w:sdt>
              <w:sdtPr>
                <w:rPr>
                  <w:rFonts w:ascii="Times New Roman" w:hAnsi="Times New Roman"/>
                  <w:color w:val="000000"/>
                  <w:spacing w:val="-2"/>
                </w:rPr>
                <w:id w:val="-2082051990"/>
              </w:sdtPr>
              <w:sdtEndPr/>
              <w:sdtContent>
                <w:r w:rsidR="000D0175" w:rsidRPr="00A919E1">
                  <w:rPr>
                    <w:rFonts w:ascii="MS Gothic" w:eastAsia="MS Gothic" w:hAnsi="MS Gothic" w:hint="eastAsia"/>
                    <w:color w:val="000000"/>
                    <w:spacing w:val="-2"/>
                  </w:rPr>
                  <w:t>☒</w:t>
                </w:r>
              </w:sdtContent>
            </w:sdt>
            <w:r w:rsidR="000D0175" w:rsidRPr="00A919E1">
              <w:rPr>
                <w:rFonts w:ascii="Times New Roman" w:hAnsi="Times New Roman"/>
                <w:color w:val="000000"/>
                <w:spacing w:val="-2"/>
              </w:rPr>
              <w:t xml:space="preserve"> skrócenie czasu na załatwienie sprawy</w:t>
            </w:r>
          </w:p>
          <w:p w:rsidR="000D0175" w:rsidRPr="00A919E1" w:rsidRDefault="001D323E" w:rsidP="000D0175">
            <w:pPr>
              <w:rPr>
                <w:rFonts w:ascii="Times New Roman" w:hAnsi="Times New Roman"/>
                <w:b/>
                <w:color w:val="000000"/>
                <w:spacing w:val="-2"/>
              </w:rPr>
            </w:pPr>
            <w:sdt>
              <w:sdtPr>
                <w:rPr>
                  <w:rFonts w:ascii="Times New Roman" w:hAnsi="Times New Roman"/>
                  <w:color w:val="000000"/>
                  <w:spacing w:val="-2"/>
                </w:rPr>
                <w:id w:val="2112540246"/>
              </w:sdtPr>
              <w:sdtEndPr/>
              <w:sdtContent>
                <w:r w:rsidR="000D0175" w:rsidRPr="00A919E1">
                  <w:rPr>
                    <w:rFonts w:ascii="MS Gothic" w:eastAsia="MS Gothic" w:hAnsi="MS Gothic" w:hint="eastAsia"/>
                    <w:color w:val="000000"/>
                    <w:spacing w:val="-2"/>
                  </w:rPr>
                  <w:t>☐</w:t>
                </w:r>
              </w:sdtContent>
            </w:sdt>
            <w:r w:rsidR="000D0175" w:rsidRPr="00A919E1">
              <w:rPr>
                <w:rFonts w:ascii="Times New Roman" w:hAnsi="Times New Roman"/>
                <w:color w:val="000000"/>
                <w:spacing w:val="-2"/>
              </w:rPr>
              <w:t xml:space="preserve"> inne:</w:t>
            </w:r>
            <w:r w:rsidR="000D0175" w:rsidRPr="00A919E1">
              <w:rPr>
                <w:rFonts w:ascii="Times New Roman" w:hAnsi="Times New Roman"/>
                <w:color w:val="000000"/>
              </w:rPr>
              <w:t xml:space="preserve"> …</w:t>
            </w:r>
          </w:p>
        </w:tc>
        <w:tc>
          <w:tcPr>
            <w:tcW w:w="6223" w:type="dxa"/>
            <w:gridSpan w:val="9"/>
            <w:shd w:val="clear" w:color="auto" w:fill="FFFFFF"/>
          </w:tcPr>
          <w:p w:rsidR="000D0175" w:rsidRPr="00A919E1" w:rsidRDefault="001D323E" w:rsidP="000D0175">
            <w:pPr>
              <w:spacing w:line="240" w:lineRule="auto"/>
              <w:rPr>
                <w:rFonts w:ascii="Times New Roman" w:hAnsi="Times New Roman"/>
                <w:color w:val="000000"/>
                <w:spacing w:val="-2"/>
              </w:rPr>
            </w:pPr>
            <w:sdt>
              <w:sdtPr>
                <w:rPr>
                  <w:rFonts w:ascii="Times New Roman" w:hAnsi="Times New Roman"/>
                  <w:color w:val="000000"/>
                  <w:spacing w:val="-2"/>
                </w:rPr>
                <w:id w:val="2104995084"/>
              </w:sdtPr>
              <w:sdtEndPr/>
              <w:sdtContent>
                <w:r w:rsidR="000D0175" w:rsidRPr="00A919E1">
                  <w:rPr>
                    <w:rFonts w:ascii="MS Gothic" w:eastAsia="MS Gothic" w:hAnsi="MS Gothic" w:hint="eastAsia"/>
                    <w:color w:val="000000"/>
                    <w:spacing w:val="-2"/>
                  </w:rPr>
                  <w:t>☐</w:t>
                </w:r>
              </w:sdtContent>
            </w:sdt>
            <w:r w:rsidR="000D0175" w:rsidRPr="00A919E1">
              <w:rPr>
                <w:rFonts w:ascii="Times New Roman" w:hAnsi="Times New Roman"/>
                <w:color w:val="000000"/>
                <w:spacing w:val="-2"/>
              </w:rPr>
              <w:t xml:space="preserve"> zwiększenie liczby dokumentów</w:t>
            </w:r>
          </w:p>
          <w:p w:rsidR="000D0175" w:rsidRPr="00A919E1" w:rsidRDefault="001D323E" w:rsidP="000D0175">
            <w:pPr>
              <w:spacing w:line="240" w:lineRule="auto"/>
              <w:rPr>
                <w:rFonts w:ascii="Times New Roman" w:hAnsi="Times New Roman"/>
                <w:color w:val="000000"/>
                <w:spacing w:val="-2"/>
              </w:rPr>
            </w:pPr>
            <w:sdt>
              <w:sdtPr>
                <w:rPr>
                  <w:rFonts w:ascii="Times New Roman" w:hAnsi="Times New Roman"/>
                  <w:color w:val="000000"/>
                </w:rPr>
                <w:id w:val="762415844"/>
              </w:sdtPr>
              <w:sdtEndPr/>
              <w:sdtContent>
                <w:r w:rsidR="000D0175" w:rsidRPr="00A919E1">
                  <w:rPr>
                    <w:rFonts w:ascii="MS Gothic" w:eastAsia="MS Gothic" w:hAnsi="MS Gothic" w:hint="eastAsia"/>
                    <w:color w:val="000000"/>
                  </w:rPr>
                  <w:t>☒</w:t>
                </w:r>
              </w:sdtContent>
            </w:sdt>
            <w:r w:rsidR="000D0175" w:rsidRPr="00A919E1">
              <w:rPr>
                <w:rFonts w:ascii="Times New Roman" w:hAnsi="Times New Roman"/>
                <w:color w:val="000000"/>
              </w:rPr>
              <w:t xml:space="preserve"> </w:t>
            </w:r>
            <w:r w:rsidR="000D0175" w:rsidRPr="00A919E1">
              <w:rPr>
                <w:rFonts w:ascii="Times New Roman" w:hAnsi="Times New Roman"/>
                <w:color w:val="000000"/>
                <w:spacing w:val="-2"/>
              </w:rPr>
              <w:t>zwiększenie liczby procedur</w:t>
            </w:r>
          </w:p>
          <w:p w:rsidR="000D0175" w:rsidRPr="00A919E1" w:rsidRDefault="001D323E" w:rsidP="000D0175">
            <w:pPr>
              <w:spacing w:line="240" w:lineRule="auto"/>
              <w:rPr>
                <w:rFonts w:ascii="Times New Roman" w:hAnsi="Times New Roman"/>
                <w:color w:val="000000"/>
                <w:spacing w:val="-2"/>
              </w:rPr>
            </w:pPr>
            <w:sdt>
              <w:sdtPr>
                <w:rPr>
                  <w:rFonts w:ascii="Times New Roman" w:hAnsi="Times New Roman"/>
                  <w:color w:val="000000"/>
                  <w:spacing w:val="-2"/>
                </w:rPr>
                <w:id w:val="-357036351"/>
              </w:sdtPr>
              <w:sdtEndPr/>
              <w:sdtContent>
                <w:r w:rsidR="000D0175" w:rsidRPr="00A919E1">
                  <w:rPr>
                    <w:rFonts w:ascii="MS Gothic" w:eastAsia="MS Gothic" w:hAnsi="MS Gothic" w:hint="eastAsia"/>
                    <w:color w:val="000000"/>
                    <w:spacing w:val="-2"/>
                  </w:rPr>
                  <w:t>☐</w:t>
                </w:r>
              </w:sdtContent>
            </w:sdt>
            <w:r w:rsidR="000D0175" w:rsidRPr="00A919E1">
              <w:rPr>
                <w:rFonts w:ascii="Times New Roman" w:hAnsi="Times New Roman"/>
                <w:color w:val="000000"/>
                <w:spacing w:val="-2"/>
              </w:rPr>
              <w:t xml:space="preserve"> wydłużenie czasu na załatwienie sprawy</w:t>
            </w:r>
          </w:p>
          <w:p w:rsidR="000D0175" w:rsidRPr="00A919E1" w:rsidRDefault="001D323E" w:rsidP="000D0175">
            <w:pPr>
              <w:spacing w:line="240" w:lineRule="auto"/>
              <w:rPr>
                <w:rFonts w:ascii="Times New Roman" w:hAnsi="Times New Roman"/>
                <w:color w:val="000000"/>
              </w:rPr>
            </w:pPr>
            <w:sdt>
              <w:sdtPr>
                <w:rPr>
                  <w:rFonts w:ascii="Times New Roman" w:hAnsi="Times New Roman"/>
                  <w:color w:val="000000"/>
                  <w:spacing w:val="-2"/>
                </w:rPr>
                <w:id w:val="1149557140"/>
              </w:sdtPr>
              <w:sdtEndPr/>
              <w:sdtContent>
                <w:r w:rsidR="000D0175" w:rsidRPr="00A919E1">
                  <w:rPr>
                    <w:rFonts w:ascii="MS Gothic" w:eastAsia="MS Gothic" w:hAnsi="MS Gothic" w:hint="eastAsia"/>
                    <w:color w:val="000000"/>
                    <w:spacing w:val="-2"/>
                  </w:rPr>
                  <w:t>☐</w:t>
                </w:r>
              </w:sdtContent>
            </w:sdt>
            <w:r w:rsidR="000D0175" w:rsidRPr="00A919E1">
              <w:rPr>
                <w:rFonts w:ascii="Times New Roman" w:hAnsi="Times New Roman"/>
                <w:color w:val="000000"/>
                <w:spacing w:val="-2"/>
              </w:rPr>
              <w:t xml:space="preserve"> inne:</w:t>
            </w:r>
            <w:r w:rsidR="000D0175" w:rsidRPr="00A919E1">
              <w:rPr>
                <w:rFonts w:ascii="Times New Roman" w:hAnsi="Times New Roman"/>
                <w:color w:val="000000"/>
              </w:rPr>
              <w:t xml:space="preserve"> …</w:t>
            </w:r>
          </w:p>
          <w:p w:rsidR="000D0175" w:rsidRPr="00A919E1" w:rsidRDefault="000D0175" w:rsidP="000D0175">
            <w:pPr>
              <w:spacing w:line="240" w:lineRule="auto"/>
              <w:rPr>
                <w:rFonts w:ascii="Times New Roman" w:hAnsi="Times New Roman"/>
                <w:color w:val="000000"/>
              </w:rPr>
            </w:pPr>
          </w:p>
        </w:tc>
      </w:tr>
      <w:tr w:rsidR="000D0175" w:rsidRPr="008B4FE6" w:rsidTr="00481F21">
        <w:trPr>
          <w:gridAfter w:val="1"/>
          <w:wAfter w:w="9" w:type="dxa"/>
          <w:trHeight w:val="870"/>
        </w:trPr>
        <w:tc>
          <w:tcPr>
            <w:tcW w:w="4715" w:type="dxa"/>
            <w:gridSpan w:val="7"/>
            <w:shd w:val="clear" w:color="auto" w:fill="FFFFFF"/>
          </w:tcPr>
          <w:p w:rsidR="000D0175" w:rsidRPr="00A919E1" w:rsidRDefault="000D0175" w:rsidP="000D0175">
            <w:pPr>
              <w:spacing w:line="240" w:lineRule="auto"/>
              <w:rPr>
                <w:rFonts w:ascii="Times New Roman" w:hAnsi="Times New Roman"/>
                <w:color w:val="000000"/>
              </w:rPr>
            </w:pPr>
            <w:r w:rsidRPr="00A919E1">
              <w:rPr>
                <w:rFonts w:ascii="Times New Roman" w:hAnsi="Times New Roman"/>
                <w:color w:val="000000"/>
                <w:spacing w:val="-2"/>
              </w:rPr>
              <w:t xml:space="preserve">Wprowadzane obciążenia są przystosowane do ich elektronizacji. </w:t>
            </w:r>
          </w:p>
        </w:tc>
        <w:tc>
          <w:tcPr>
            <w:tcW w:w="6223" w:type="dxa"/>
            <w:gridSpan w:val="9"/>
            <w:shd w:val="clear" w:color="auto" w:fill="FFFFFF"/>
          </w:tcPr>
          <w:p w:rsidR="000D0175" w:rsidRPr="00A919E1" w:rsidRDefault="001D323E" w:rsidP="000D0175">
            <w:pPr>
              <w:spacing w:line="240" w:lineRule="auto"/>
              <w:rPr>
                <w:rFonts w:ascii="Times New Roman" w:hAnsi="Times New Roman"/>
                <w:color w:val="000000"/>
              </w:rPr>
            </w:pPr>
            <w:sdt>
              <w:sdtPr>
                <w:rPr>
                  <w:rFonts w:ascii="Times New Roman" w:hAnsi="Times New Roman"/>
                  <w:color w:val="000000"/>
                </w:rPr>
                <w:id w:val="297268939"/>
              </w:sdtPr>
              <w:sdtEndPr/>
              <w:sdtContent>
                <w:r w:rsidR="000D0175" w:rsidRPr="00A919E1">
                  <w:rPr>
                    <w:rFonts w:ascii="MS Gothic" w:eastAsia="MS Gothic" w:hAnsi="MS Gothic" w:hint="eastAsia"/>
                    <w:color w:val="000000"/>
                  </w:rPr>
                  <w:t>☒</w:t>
                </w:r>
              </w:sdtContent>
            </w:sdt>
            <w:r w:rsidR="000D0175" w:rsidRPr="00A919E1">
              <w:rPr>
                <w:rFonts w:ascii="Times New Roman" w:hAnsi="Times New Roman"/>
                <w:color w:val="000000"/>
              </w:rPr>
              <w:t xml:space="preserve"> tak</w:t>
            </w:r>
          </w:p>
          <w:p w:rsidR="000D0175" w:rsidRPr="00A919E1" w:rsidRDefault="001D323E" w:rsidP="000D0175">
            <w:pPr>
              <w:spacing w:line="240" w:lineRule="auto"/>
              <w:rPr>
                <w:rFonts w:ascii="Times New Roman" w:hAnsi="Times New Roman"/>
                <w:color w:val="000000"/>
              </w:rPr>
            </w:pPr>
            <w:sdt>
              <w:sdtPr>
                <w:rPr>
                  <w:rFonts w:ascii="Times New Roman" w:hAnsi="Times New Roman"/>
                  <w:color w:val="000000"/>
                </w:rPr>
                <w:id w:val="-1887021666"/>
              </w:sdtPr>
              <w:sdtEndPr/>
              <w:sdtContent>
                <w:r w:rsidR="000D0175" w:rsidRPr="00A919E1">
                  <w:rPr>
                    <w:rFonts w:ascii="MS Gothic" w:eastAsia="MS Gothic" w:hAnsi="MS Gothic" w:hint="eastAsia"/>
                    <w:color w:val="000000"/>
                  </w:rPr>
                  <w:t>☐</w:t>
                </w:r>
              </w:sdtContent>
            </w:sdt>
            <w:r w:rsidR="000D0175" w:rsidRPr="00A919E1">
              <w:rPr>
                <w:rFonts w:ascii="Times New Roman" w:hAnsi="Times New Roman"/>
                <w:color w:val="000000"/>
              </w:rPr>
              <w:t xml:space="preserve"> nie</w:t>
            </w:r>
          </w:p>
          <w:p w:rsidR="000D0175" w:rsidRPr="00A919E1" w:rsidRDefault="001D323E" w:rsidP="000D0175">
            <w:pPr>
              <w:spacing w:line="240" w:lineRule="auto"/>
              <w:rPr>
                <w:rFonts w:ascii="Times New Roman" w:hAnsi="Times New Roman"/>
                <w:color w:val="000000"/>
              </w:rPr>
            </w:pPr>
            <w:sdt>
              <w:sdtPr>
                <w:rPr>
                  <w:rFonts w:ascii="Times New Roman" w:hAnsi="Times New Roman"/>
                  <w:color w:val="000000"/>
                </w:rPr>
                <w:id w:val="1904862519"/>
              </w:sdtPr>
              <w:sdtEndPr/>
              <w:sdtContent>
                <w:r w:rsidR="000D0175" w:rsidRPr="00A919E1">
                  <w:rPr>
                    <w:rFonts w:ascii="MS Gothic" w:eastAsia="MS Gothic" w:hAnsi="MS Gothic" w:hint="eastAsia"/>
                    <w:color w:val="000000"/>
                  </w:rPr>
                  <w:t>☐</w:t>
                </w:r>
              </w:sdtContent>
            </w:sdt>
            <w:r w:rsidR="000D0175" w:rsidRPr="00A919E1">
              <w:rPr>
                <w:rFonts w:ascii="Times New Roman" w:hAnsi="Times New Roman"/>
                <w:color w:val="000000"/>
              </w:rPr>
              <w:t xml:space="preserve"> nie dotyczy</w:t>
            </w:r>
          </w:p>
          <w:p w:rsidR="000D0175" w:rsidRPr="00A919E1" w:rsidRDefault="000D0175" w:rsidP="000D0175">
            <w:pPr>
              <w:spacing w:line="240" w:lineRule="auto"/>
              <w:rPr>
                <w:rFonts w:ascii="Times New Roman" w:hAnsi="Times New Roman"/>
                <w:color w:val="000000"/>
              </w:rPr>
            </w:pPr>
          </w:p>
        </w:tc>
      </w:tr>
      <w:tr w:rsidR="000D0175" w:rsidRPr="008B4FE6" w:rsidTr="00481F21">
        <w:trPr>
          <w:gridAfter w:val="1"/>
          <w:wAfter w:w="9" w:type="dxa"/>
          <w:trHeight w:val="630"/>
        </w:trPr>
        <w:tc>
          <w:tcPr>
            <w:tcW w:w="10938" w:type="dxa"/>
            <w:gridSpan w:val="16"/>
            <w:shd w:val="clear" w:color="auto" w:fill="FFFFFF"/>
          </w:tcPr>
          <w:p w:rsidR="000D0175" w:rsidRDefault="000D0175" w:rsidP="000D0175">
            <w:pPr>
              <w:spacing w:line="240" w:lineRule="auto"/>
              <w:jc w:val="both"/>
              <w:rPr>
                <w:rFonts w:ascii="Times New Roman" w:hAnsi="Times New Roman"/>
                <w:color w:val="000000"/>
              </w:rPr>
            </w:pPr>
            <w:r w:rsidRPr="00974F66">
              <w:rPr>
                <w:rFonts w:ascii="Times New Roman" w:hAnsi="Times New Roman"/>
                <w:color w:val="000000"/>
              </w:rPr>
              <w:t>Skala podejmowanych działań, zwiększona świadomość obywateli co do realizacji ustawowych obowiązków wpływających na bezpieczeństwo ludzi, wykorzystanie e-usług (zamów przegląd kominowy), pierwsza w skali kraju ewidencja kominiarzy na poziomie ogólnokrajowym czy wreszcie zmiana programów wsparcia finansowego ze środków publicznych przez uzależnienie możliwości przyznania dofinansowania od „poddania się inwentaryzacji budynku” i posiadania aktualnego okresowego przeglądu przewodu kominowego</w:t>
            </w:r>
            <w:r>
              <w:rPr>
                <w:rFonts w:ascii="Times New Roman" w:hAnsi="Times New Roman"/>
                <w:color w:val="000000"/>
              </w:rPr>
              <w:t xml:space="preserve"> daje podstawę do stwierdzenia, że</w:t>
            </w:r>
            <w:r w:rsidRPr="00974F66">
              <w:rPr>
                <w:rFonts w:ascii="Times New Roman" w:hAnsi="Times New Roman"/>
                <w:color w:val="000000"/>
              </w:rPr>
              <w:t xml:space="preserve"> </w:t>
            </w:r>
            <w:r>
              <w:rPr>
                <w:rFonts w:ascii="Times New Roman" w:hAnsi="Times New Roman"/>
                <w:color w:val="000000"/>
              </w:rPr>
              <w:t>p</w:t>
            </w:r>
            <w:r w:rsidRPr="00A919E1">
              <w:rPr>
                <w:rFonts w:ascii="Times New Roman" w:hAnsi="Times New Roman"/>
                <w:color w:val="000000"/>
              </w:rPr>
              <w:t>rojektowana regulacja nie nakłada żadnych dodatkowych obciążeń administracyjnych na osoby uprawnione – poza obowiązkiem inwentaryzacji</w:t>
            </w:r>
            <w:r>
              <w:rPr>
                <w:rFonts w:ascii="Times New Roman" w:hAnsi="Times New Roman"/>
                <w:color w:val="000000"/>
              </w:rPr>
              <w:t xml:space="preserve"> </w:t>
            </w:r>
            <w:r w:rsidRPr="00A919E1">
              <w:rPr>
                <w:rFonts w:ascii="Times New Roman" w:hAnsi="Times New Roman"/>
                <w:color w:val="000000"/>
              </w:rPr>
              <w:t xml:space="preserve">dokonywanej „przy okazji” wykonywania innych obowiązków. Po stronie obywatela pozostanie wskazanie parametrów technicznych budynku oraz źródeł </w:t>
            </w:r>
            <w:r>
              <w:rPr>
                <w:rFonts w:ascii="Times New Roman" w:hAnsi="Times New Roman"/>
                <w:color w:val="000000"/>
              </w:rPr>
              <w:t xml:space="preserve">ciepła, źródeł </w:t>
            </w:r>
            <w:r w:rsidRPr="00A919E1">
              <w:rPr>
                <w:rFonts w:ascii="Times New Roman" w:hAnsi="Times New Roman"/>
                <w:color w:val="000000"/>
              </w:rPr>
              <w:t>spalania paliw</w:t>
            </w:r>
            <w:r>
              <w:rPr>
                <w:rFonts w:ascii="Times New Roman" w:hAnsi="Times New Roman"/>
                <w:color w:val="000000"/>
              </w:rPr>
              <w:t xml:space="preserve"> oraz źródeł energii elektrycznej</w:t>
            </w:r>
            <w:r w:rsidRPr="00A919E1">
              <w:rPr>
                <w:rFonts w:ascii="Times New Roman" w:hAnsi="Times New Roman"/>
                <w:color w:val="000000"/>
              </w:rPr>
              <w:t>. Znacząco wzrośnie liczba aktualnych danych, do których zapewniony będzie dostęp on-line. Osoby wpisane do wykazu osób uprawnionych będą zobowiązane do dokonania inwentaryzacji budynku,</w:t>
            </w:r>
            <w:r>
              <w:rPr>
                <w:rFonts w:ascii="Times New Roman" w:hAnsi="Times New Roman"/>
                <w:color w:val="000000"/>
              </w:rPr>
              <w:t xml:space="preserve"> </w:t>
            </w:r>
            <w:r w:rsidRPr="00A919E1">
              <w:rPr>
                <w:rFonts w:ascii="Times New Roman" w:hAnsi="Times New Roman"/>
                <w:color w:val="000000"/>
              </w:rPr>
              <w:t xml:space="preserve">w zakresie danych o których mowa w projektowanej regulacji. Dane będą wprowadzane do </w:t>
            </w:r>
            <w:r>
              <w:rPr>
                <w:rFonts w:ascii="Times New Roman" w:hAnsi="Times New Roman"/>
                <w:color w:val="000000"/>
                <w:spacing w:val="-2"/>
              </w:rPr>
              <w:t>CEEB</w:t>
            </w:r>
            <w:r w:rsidRPr="00A919E1">
              <w:rPr>
                <w:rFonts w:ascii="Times New Roman" w:hAnsi="Times New Roman"/>
                <w:color w:val="000000"/>
              </w:rPr>
              <w:t xml:space="preserve"> za pomocą elektronicznego formularza inwentaryzacyjnego, który będzie zapisywany automatycznie po jego wygenerowaniu w systemie teleinformatycznym obsługującym </w:t>
            </w:r>
            <w:r>
              <w:rPr>
                <w:rFonts w:ascii="Times New Roman" w:hAnsi="Times New Roman"/>
                <w:color w:val="000000"/>
                <w:spacing w:val="-2"/>
              </w:rPr>
              <w:t>CEEB</w:t>
            </w:r>
            <w:r w:rsidRPr="00A919E1">
              <w:rPr>
                <w:rFonts w:ascii="Times New Roman" w:hAnsi="Times New Roman"/>
                <w:color w:val="000000"/>
              </w:rPr>
              <w:t xml:space="preserve">. Natomiast wprowadzenie danych do </w:t>
            </w:r>
            <w:r>
              <w:rPr>
                <w:rFonts w:ascii="Times New Roman" w:hAnsi="Times New Roman"/>
                <w:color w:val="000000"/>
                <w:spacing w:val="-2"/>
              </w:rPr>
              <w:t>CEEB</w:t>
            </w:r>
            <w:r w:rsidRPr="00A919E1">
              <w:rPr>
                <w:rFonts w:ascii="Times New Roman" w:hAnsi="Times New Roman"/>
                <w:color w:val="000000"/>
              </w:rPr>
              <w:t xml:space="preserve"> nastąpi w czasie wykonania czynności skutkującej koniecznością̨ przekazania danych do </w:t>
            </w:r>
            <w:r>
              <w:rPr>
                <w:rFonts w:ascii="Times New Roman" w:hAnsi="Times New Roman"/>
                <w:color w:val="000000"/>
                <w:spacing w:val="-2"/>
              </w:rPr>
              <w:t>CEEB</w:t>
            </w:r>
            <w:r w:rsidRPr="00A919E1">
              <w:rPr>
                <w:rFonts w:ascii="Times New Roman" w:hAnsi="Times New Roman"/>
                <w:color w:val="000000"/>
              </w:rPr>
              <w:t xml:space="preserve">, za pomocą̨ systemu teleinformatycznego obsługującego </w:t>
            </w:r>
            <w:r>
              <w:rPr>
                <w:rFonts w:ascii="Times New Roman" w:hAnsi="Times New Roman"/>
                <w:color w:val="000000"/>
                <w:spacing w:val="-2"/>
              </w:rPr>
              <w:t>CEEB</w:t>
            </w:r>
            <w:r w:rsidRPr="00A919E1">
              <w:rPr>
                <w:rFonts w:ascii="Times New Roman" w:hAnsi="Times New Roman"/>
                <w:color w:val="000000"/>
              </w:rPr>
              <w:t>. Narzędzie informatyczne umożliwi wprowadzenie danych za pomocą aplikacji webowej lub mobilnej, zarówno w trybie online, jak i w trybie offline.</w:t>
            </w:r>
          </w:p>
          <w:p w:rsidR="000D0175"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lastRenderedPageBreak/>
              <w:t xml:space="preserve">W zakresie Programu Stop Smog projektowana regulacja zmniejsza obciążenia regulacyjne. Projektowana regulacja zmniejsza m.in. z 50 na 30% poziom </w:t>
            </w:r>
            <w:r w:rsidRPr="00F64182">
              <w:rPr>
                <w:rFonts w:ascii="Times New Roman" w:hAnsi="Times New Roman"/>
                <w:color w:val="000000"/>
                <w:spacing w:val="-2"/>
              </w:rPr>
              <w:t xml:space="preserve">zmniejszenia zapotrzebowania na ciepło grzewcze dla wszystkich przedsięwzięć niskoemisyjnych </w:t>
            </w:r>
            <w:r>
              <w:rPr>
                <w:rFonts w:ascii="Times New Roman" w:hAnsi="Times New Roman"/>
                <w:color w:val="000000"/>
                <w:spacing w:val="-2"/>
              </w:rPr>
              <w:t>czy mniejszą liczbę budynków umożliwiających uczestnictwo w Programie (z 2 na 1% lub 20 budynków jednorodzinnych).</w:t>
            </w:r>
          </w:p>
          <w:p w:rsidR="000D0175" w:rsidRPr="00A919E1" w:rsidRDefault="000D0175" w:rsidP="000D0175">
            <w:pPr>
              <w:spacing w:line="240" w:lineRule="auto"/>
              <w:jc w:val="both"/>
              <w:rPr>
                <w:rFonts w:ascii="Times New Roman" w:hAnsi="Times New Roman"/>
                <w:color w:val="000000"/>
              </w:rPr>
            </w:pPr>
            <w:r>
              <w:rPr>
                <w:rFonts w:ascii="Times New Roman" w:hAnsi="Times New Roman"/>
                <w:color w:val="000000"/>
                <w:spacing w:val="-2"/>
              </w:rPr>
              <w:t>W zakresie rządowego programu priorytetowego „Czyste Powietrze” przewiduje się p</w:t>
            </w:r>
            <w:r w:rsidRPr="0026189D">
              <w:rPr>
                <w:rFonts w:ascii="Times New Roman" w:hAnsi="Times New Roman"/>
                <w:color w:val="000000"/>
                <w:spacing w:val="-2"/>
              </w:rPr>
              <w:t>rzyspieszenie procesu oceny wniosków o dofinansowanie</w:t>
            </w:r>
            <w:r>
              <w:rPr>
                <w:rFonts w:ascii="Times New Roman" w:hAnsi="Times New Roman"/>
                <w:color w:val="000000"/>
                <w:spacing w:val="-2"/>
              </w:rPr>
              <w:t xml:space="preserve"> składanych przez osoby fizyczne, na skutek wprowadzenia </w:t>
            </w:r>
            <w:r w:rsidRPr="0026189D">
              <w:rPr>
                <w:rFonts w:ascii="Times New Roman" w:hAnsi="Times New Roman"/>
                <w:color w:val="000000"/>
                <w:spacing w:val="-2"/>
              </w:rPr>
              <w:t>zaświadczeń</w:t>
            </w:r>
            <w:r>
              <w:rPr>
                <w:rFonts w:ascii="Times New Roman" w:hAnsi="Times New Roman"/>
                <w:color w:val="000000"/>
                <w:spacing w:val="-2"/>
              </w:rPr>
              <w:t xml:space="preserve"> </w:t>
            </w:r>
            <w:r w:rsidRPr="0026189D">
              <w:rPr>
                <w:rFonts w:ascii="Times New Roman" w:hAnsi="Times New Roman"/>
                <w:color w:val="000000"/>
                <w:spacing w:val="-2"/>
              </w:rPr>
              <w:t>potwierdzających przeciętny miesięczny dochód na jedneg</w:t>
            </w:r>
            <w:r>
              <w:rPr>
                <w:rFonts w:ascii="Times New Roman" w:hAnsi="Times New Roman"/>
                <w:color w:val="000000"/>
                <w:spacing w:val="-2"/>
              </w:rPr>
              <w:t>o członka gospodarstwa domowego, które będą wydawane przez wójtów/burmistrzów/prezydentów miast</w:t>
            </w:r>
            <w:r w:rsidRPr="0060429A">
              <w:rPr>
                <w:rFonts w:ascii="Times New Roman" w:hAnsi="Times New Roman"/>
                <w:sz w:val="24"/>
                <w:szCs w:val="24"/>
              </w:rPr>
              <w:t>.</w:t>
            </w:r>
          </w:p>
        </w:tc>
      </w:tr>
      <w:tr w:rsidR="000D0175" w:rsidRPr="008B4FE6" w:rsidTr="00481F21">
        <w:trPr>
          <w:gridAfter w:val="1"/>
          <w:wAfter w:w="9" w:type="dxa"/>
          <w:trHeight w:val="142"/>
        </w:trPr>
        <w:tc>
          <w:tcPr>
            <w:tcW w:w="10938" w:type="dxa"/>
            <w:gridSpan w:val="16"/>
            <w:shd w:val="clear" w:color="auto" w:fill="99CCFF"/>
          </w:tcPr>
          <w:p w:rsidR="000D0175" w:rsidRPr="008B4FE6" w:rsidRDefault="000D0175" w:rsidP="000D0175">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lastRenderedPageBreak/>
              <w:t xml:space="preserve">Wpływ na rynek pracy </w:t>
            </w:r>
          </w:p>
        </w:tc>
      </w:tr>
      <w:tr w:rsidR="000D0175" w:rsidRPr="008B4FE6" w:rsidTr="00481F21">
        <w:trPr>
          <w:gridAfter w:val="1"/>
          <w:wAfter w:w="9" w:type="dxa"/>
          <w:trHeight w:val="142"/>
        </w:trPr>
        <w:tc>
          <w:tcPr>
            <w:tcW w:w="10938" w:type="dxa"/>
            <w:gridSpan w:val="16"/>
            <w:shd w:val="clear" w:color="auto" w:fill="auto"/>
          </w:tcPr>
          <w:p w:rsidR="000D0175" w:rsidRDefault="000D0175" w:rsidP="000D0175">
            <w:pPr>
              <w:spacing w:line="240" w:lineRule="auto"/>
              <w:jc w:val="both"/>
              <w:rPr>
                <w:rFonts w:ascii="Times New Roman" w:hAnsi="Times New Roman"/>
                <w:color w:val="000000"/>
              </w:rPr>
            </w:pPr>
            <w:r>
              <w:rPr>
                <w:rFonts w:ascii="Times New Roman" w:hAnsi="Times New Roman"/>
                <w:color w:val="000000"/>
              </w:rPr>
              <w:t>Projektowana zmiana w zakresie Programu Stop Smog powinna przyspieszyć jego wdrażanie i tym samym uwolnić jego pełen potencjał, w tym jego wpływ na rynek pracy.</w:t>
            </w:r>
          </w:p>
          <w:p w:rsidR="000D0175" w:rsidRPr="00FD0FEE" w:rsidRDefault="000D0175" w:rsidP="000D0175">
            <w:pPr>
              <w:spacing w:line="240" w:lineRule="auto"/>
              <w:jc w:val="both"/>
              <w:rPr>
                <w:rFonts w:ascii="Times New Roman" w:hAnsi="Times New Roman"/>
                <w:color w:val="000000"/>
              </w:rPr>
            </w:pPr>
            <w:r w:rsidRPr="00FD0FEE">
              <w:rPr>
                <w:rFonts w:ascii="Times New Roman" w:hAnsi="Times New Roman"/>
                <w:color w:val="000000"/>
              </w:rPr>
              <w:t xml:space="preserve">Szacuje się, że przy kompleksowej termomodernizacji domów jednorodzinnych tylko w dwóch województwach: śląskim i małopolskim łącznie pracę mogłyby znaleźć nawet dodatkowe 32 tys. osób (źródło: Instytut Ekonomii Środowiska, Efektywność Energetyczna w Polsce. Przegląd 2017). </w:t>
            </w:r>
          </w:p>
          <w:p w:rsidR="000D0175" w:rsidRPr="008B4FE6" w:rsidRDefault="000D0175" w:rsidP="000D0175">
            <w:pPr>
              <w:spacing w:line="240" w:lineRule="auto"/>
              <w:jc w:val="both"/>
              <w:rPr>
                <w:rFonts w:ascii="Times New Roman" w:hAnsi="Times New Roman"/>
                <w:color w:val="000000"/>
              </w:rPr>
            </w:pPr>
            <w:r w:rsidRPr="00FD0FEE">
              <w:rPr>
                <w:rFonts w:ascii="Times New Roman" w:hAnsi="Times New Roman"/>
                <w:color w:val="000000"/>
              </w:rPr>
              <w:t>Według szacunków Instytutu Badań Strukturalnych, w każdym województwie przy naturalnie realizowanych działaniach termomodernizacyjnych pracuje około 8 tys. osób w przeliczeniu na całoroczne zatrudnienie w pełnym wymiarze etatu. Zwiększenie zakresu interwencji termomodernizacyjnych w następstwie realizacji uchwał antysmogowych mogłoby zwiększyć tę liczbę nawet dwuipółkrotnie. Jeśli jednak skutkiem uchwał będzie tylko i wyłącznie podjęcie działań obowiązkowych, a więc wymiana źródeł ciepła, to zatrudnienie w tej działalności wzrośnie nieznacznie, tylko o 6% w każdym z województw. Efekty będą zauważalnie większe, jeśli wraz z wymianą źródeł ciepła wykonywane będą dodatkowe interwencje. W przypadku równoczesnej modernizacji instalacji c.o. i c.w.u. liczba osób pracujących przy działaniach termomodernizacyjnych byłaby o 20% wyższa i przekroczyłaby w każdym z województw 10 tys. osób w przeliczeniu na całoroczne zatrudnienie na pełen etat. Jeśli montowane byłyby także kolektory słoneczne, to potrzebne byłyby kolejne 2 tys. pracowników w każdym z województw. Zatrudnienie przy działaniach termomodernizacyjnych przekroczyłoby 12 tys. osób w obu województwach, czyli byłoby o 50% większe niż w scenariuszu bazowym (źródło: Instytut Badań Strukturalnych).</w:t>
            </w:r>
          </w:p>
        </w:tc>
      </w:tr>
      <w:tr w:rsidR="000D0175" w:rsidRPr="008B4FE6" w:rsidTr="00481F21">
        <w:trPr>
          <w:gridAfter w:val="1"/>
          <w:wAfter w:w="9" w:type="dxa"/>
          <w:trHeight w:val="142"/>
        </w:trPr>
        <w:tc>
          <w:tcPr>
            <w:tcW w:w="10938" w:type="dxa"/>
            <w:gridSpan w:val="16"/>
            <w:shd w:val="clear" w:color="auto" w:fill="99CCFF"/>
          </w:tcPr>
          <w:p w:rsidR="000D0175" w:rsidRPr="008B4FE6" w:rsidRDefault="000D0175" w:rsidP="000D0175">
            <w:pPr>
              <w:numPr>
                <w:ilvl w:val="0"/>
                <w:numId w:val="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0D0175" w:rsidRPr="008B4FE6" w:rsidTr="00481F21">
        <w:trPr>
          <w:gridAfter w:val="1"/>
          <w:wAfter w:w="9" w:type="dxa"/>
          <w:trHeight w:val="1031"/>
        </w:trPr>
        <w:tc>
          <w:tcPr>
            <w:tcW w:w="2720" w:type="dxa"/>
            <w:gridSpan w:val="4"/>
            <w:shd w:val="clear" w:color="auto" w:fill="FFFFFF"/>
          </w:tcPr>
          <w:p w:rsidR="000D0175" w:rsidRPr="008B4FE6" w:rsidRDefault="000D0175" w:rsidP="000D0175">
            <w:pPr>
              <w:spacing w:line="240" w:lineRule="auto"/>
              <w:rPr>
                <w:rFonts w:ascii="Times New Roman" w:hAnsi="Times New Roman"/>
                <w:color w:val="000000"/>
              </w:rPr>
            </w:pPr>
          </w:p>
          <w:p w:rsidR="000D0175" w:rsidRPr="008B4FE6" w:rsidRDefault="001D323E" w:rsidP="000D0175">
            <w:pPr>
              <w:spacing w:line="240" w:lineRule="auto"/>
              <w:rPr>
                <w:rFonts w:ascii="Times New Roman" w:hAnsi="Times New Roman"/>
                <w:color w:val="000000"/>
                <w:spacing w:val="-2"/>
              </w:rPr>
            </w:pPr>
            <w:sdt>
              <w:sdtPr>
                <w:rPr>
                  <w:rFonts w:ascii="Times New Roman" w:hAnsi="Times New Roman"/>
                  <w:color w:val="000000"/>
                </w:rPr>
                <w:id w:val="365952688"/>
              </w:sdtPr>
              <w:sdtEndPr/>
              <w:sdtContent>
                <w:r w:rsidR="000D0175">
                  <w:rPr>
                    <w:rFonts w:ascii="MS Gothic" w:eastAsia="MS Gothic" w:hAnsi="MS Gothic" w:hint="eastAsia"/>
                    <w:color w:val="000000"/>
                  </w:rPr>
                  <w:t>☒</w:t>
                </w:r>
              </w:sdtContent>
            </w:sdt>
            <w:r w:rsidR="000D0175">
              <w:rPr>
                <w:rFonts w:ascii="Times New Roman" w:hAnsi="Times New Roman"/>
                <w:color w:val="000000"/>
              </w:rPr>
              <w:t xml:space="preserve"> </w:t>
            </w:r>
            <w:r w:rsidR="000D0175" w:rsidRPr="008B4FE6">
              <w:rPr>
                <w:rFonts w:ascii="Times New Roman" w:hAnsi="Times New Roman"/>
                <w:color w:val="000000"/>
                <w:spacing w:val="-2"/>
              </w:rPr>
              <w:t>środowisko naturalne</w:t>
            </w:r>
          </w:p>
          <w:p w:rsidR="000D0175" w:rsidRDefault="001D323E" w:rsidP="000D0175">
            <w:pPr>
              <w:spacing w:line="240" w:lineRule="auto"/>
              <w:rPr>
                <w:rFonts w:ascii="Times New Roman" w:hAnsi="Times New Roman"/>
                <w:color w:val="000000"/>
              </w:rPr>
            </w:pPr>
            <w:sdt>
              <w:sdtPr>
                <w:rPr>
                  <w:rFonts w:ascii="Times New Roman" w:hAnsi="Times New Roman"/>
                  <w:color w:val="000000"/>
                </w:rPr>
                <w:id w:val="-1888785328"/>
              </w:sdtPr>
              <w:sdtEndPr/>
              <w:sdtContent>
                <w:r w:rsidR="000D0175">
                  <w:rPr>
                    <w:rFonts w:ascii="MS Gothic" w:eastAsia="MS Gothic" w:hAnsi="MS Gothic" w:hint="eastAsia"/>
                    <w:color w:val="000000"/>
                  </w:rPr>
                  <w:t>☒</w:t>
                </w:r>
              </w:sdtContent>
            </w:sdt>
            <w:r w:rsidR="000D0175">
              <w:rPr>
                <w:rFonts w:ascii="Times New Roman" w:hAnsi="Times New Roman"/>
                <w:color w:val="000000"/>
              </w:rPr>
              <w:t xml:space="preserve"> </w:t>
            </w:r>
            <w:r w:rsidR="000D0175" w:rsidRPr="008B4FE6">
              <w:rPr>
                <w:rFonts w:ascii="Times New Roman" w:hAnsi="Times New Roman"/>
                <w:color w:val="000000"/>
              </w:rPr>
              <w:t>sytuacja i rozwój regionalny</w:t>
            </w:r>
          </w:p>
          <w:p w:rsidR="000D0175" w:rsidRPr="008B4FE6" w:rsidRDefault="001D323E" w:rsidP="000D0175">
            <w:pPr>
              <w:spacing w:line="240" w:lineRule="auto"/>
              <w:rPr>
                <w:rFonts w:ascii="Times New Roman" w:hAnsi="Times New Roman"/>
                <w:color w:val="000000"/>
                <w:spacing w:val="-2"/>
              </w:rPr>
            </w:pPr>
            <w:sdt>
              <w:sdtPr>
                <w:rPr>
                  <w:rFonts w:ascii="Times New Roman" w:hAnsi="Times New Roman"/>
                  <w:color w:val="000000"/>
                  <w:spacing w:val="-2"/>
                </w:rPr>
                <w:id w:val="366884454"/>
              </w:sdtPr>
              <w:sdtEndPr/>
              <w:sdtContent>
                <w:r w:rsidR="000D0175">
                  <w:rPr>
                    <w:rFonts w:ascii="MS Gothic" w:eastAsia="MS Gothic" w:hAnsi="MS Gothic" w:hint="eastAsia"/>
                    <w:color w:val="000000"/>
                    <w:spacing w:val="-2"/>
                  </w:rPr>
                  <w:t>☐</w:t>
                </w:r>
              </w:sdtContent>
            </w:sdt>
            <w:r w:rsidR="000D0175">
              <w:rPr>
                <w:rFonts w:ascii="Times New Roman" w:hAnsi="Times New Roman"/>
                <w:color w:val="000000"/>
                <w:spacing w:val="-2"/>
              </w:rPr>
              <w:t xml:space="preserve"> </w:t>
            </w:r>
            <w:r w:rsidR="000D0175" w:rsidRPr="008B4FE6">
              <w:rPr>
                <w:rFonts w:ascii="Times New Roman" w:hAnsi="Times New Roman"/>
                <w:color w:val="000000"/>
                <w:spacing w:val="-2"/>
              </w:rPr>
              <w:t xml:space="preserve">inne: </w:t>
            </w:r>
            <w:r w:rsidR="000D0175">
              <w:rPr>
                <w:rFonts w:ascii="Times New Roman" w:hAnsi="Times New Roman"/>
                <w:color w:val="000000"/>
              </w:rPr>
              <w:t>…</w:t>
            </w:r>
          </w:p>
        </w:tc>
        <w:tc>
          <w:tcPr>
            <w:tcW w:w="4655" w:type="dxa"/>
            <w:gridSpan w:val="7"/>
            <w:shd w:val="clear" w:color="auto" w:fill="FFFFFF"/>
          </w:tcPr>
          <w:p w:rsidR="000D0175" w:rsidRPr="008B4FE6" w:rsidRDefault="000D0175" w:rsidP="000D0175">
            <w:pPr>
              <w:spacing w:line="240" w:lineRule="auto"/>
              <w:rPr>
                <w:rFonts w:ascii="Times New Roman" w:hAnsi="Times New Roman"/>
                <w:color w:val="000000"/>
              </w:rPr>
            </w:pPr>
          </w:p>
          <w:p w:rsidR="000D0175" w:rsidRPr="008B4FE6" w:rsidRDefault="001D323E" w:rsidP="000D0175">
            <w:pPr>
              <w:spacing w:line="240" w:lineRule="auto"/>
              <w:rPr>
                <w:rFonts w:ascii="Times New Roman" w:hAnsi="Times New Roman"/>
                <w:color w:val="000000"/>
                <w:spacing w:val="-2"/>
              </w:rPr>
            </w:pPr>
            <w:sdt>
              <w:sdtPr>
                <w:rPr>
                  <w:rFonts w:ascii="Times New Roman" w:hAnsi="Times New Roman"/>
                  <w:color w:val="000000"/>
                  <w:spacing w:val="-2"/>
                </w:rPr>
                <w:id w:val="-1170861332"/>
              </w:sdtPr>
              <w:sdtEndPr/>
              <w:sdtContent>
                <w:r w:rsidR="000D0175">
                  <w:rPr>
                    <w:rFonts w:ascii="MS Gothic" w:eastAsia="MS Gothic" w:hAnsi="MS Gothic" w:hint="eastAsia"/>
                    <w:color w:val="000000"/>
                    <w:spacing w:val="-2"/>
                  </w:rPr>
                  <w:t>☐</w:t>
                </w:r>
              </w:sdtContent>
            </w:sdt>
            <w:r w:rsidR="000D0175">
              <w:rPr>
                <w:rFonts w:ascii="Times New Roman" w:hAnsi="Times New Roman"/>
                <w:color w:val="000000"/>
                <w:spacing w:val="-2"/>
              </w:rPr>
              <w:t xml:space="preserve"> </w:t>
            </w:r>
            <w:r w:rsidR="000D0175" w:rsidRPr="008B4FE6">
              <w:rPr>
                <w:rFonts w:ascii="Times New Roman" w:hAnsi="Times New Roman"/>
                <w:color w:val="000000"/>
                <w:spacing w:val="-2"/>
              </w:rPr>
              <w:t>demografia</w:t>
            </w:r>
          </w:p>
          <w:p w:rsidR="000D0175" w:rsidRPr="008B4FE6" w:rsidRDefault="001D323E" w:rsidP="000D0175">
            <w:pPr>
              <w:spacing w:line="240" w:lineRule="auto"/>
              <w:rPr>
                <w:rFonts w:ascii="Times New Roman" w:hAnsi="Times New Roman"/>
                <w:color w:val="000000"/>
              </w:rPr>
            </w:pPr>
            <w:sdt>
              <w:sdtPr>
                <w:rPr>
                  <w:rFonts w:ascii="Times New Roman" w:hAnsi="Times New Roman"/>
                  <w:color w:val="000000"/>
                </w:rPr>
                <w:id w:val="1090503991"/>
              </w:sdtPr>
              <w:sdtEndPr/>
              <w:sdtContent>
                <w:r w:rsidR="000D0175">
                  <w:rPr>
                    <w:rFonts w:ascii="MS Gothic" w:eastAsia="MS Gothic" w:hAnsi="MS Gothic" w:hint="eastAsia"/>
                    <w:color w:val="000000"/>
                  </w:rPr>
                  <w:t>☐</w:t>
                </w:r>
              </w:sdtContent>
            </w:sdt>
            <w:r w:rsidR="000D0175">
              <w:rPr>
                <w:rFonts w:ascii="Times New Roman" w:hAnsi="Times New Roman"/>
                <w:color w:val="000000"/>
              </w:rPr>
              <w:t xml:space="preserve"> mienie państwowe</w:t>
            </w:r>
          </w:p>
        </w:tc>
        <w:tc>
          <w:tcPr>
            <w:tcW w:w="3563" w:type="dxa"/>
            <w:gridSpan w:val="5"/>
            <w:shd w:val="clear" w:color="auto" w:fill="FFFFFF"/>
          </w:tcPr>
          <w:p w:rsidR="000D0175" w:rsidRPr="008B4FE6" w:rsidRDefault="000D0175" w:rsidP="000D0175">
            <w:pPr>
              <w:spacing w:line="240" w:lineRule="auto"/>
              <w:rPr>
                <w:rFonts w:ascii="Times New Roman" w:hAnsi="Times New Roman"/>
                <w:color w:val="000000"/>
              </w:rPr>
            </w:pPr>
          </w:p>
          <w:p w:rsidR="000D0175" w:rsidRDefault="001D323E" w:rsidP="000D0175">
            <w:pPr>
              <w:spacing w:line="240" w:lineRule="auto"/>
              <w:rPr>
                <w:rFonts w:ascii="Times New Roman" w:hAnsi="Times New Roman"/>
                <w:color w:val="000000"/>
                <w:spacing w:val="-2"/>
              </w:rPr>
            </w:pPr>
            <w:sdt>
              <w:sdtPr>
                <w:rPr>
                  <w:rFonts w:ascii="Times New Roman" w:hAnsi="Times New Roman"/>
                  <w:color w:val="000000"/>
                  <w:spacing w:val="-2"/>
                </w:rPr>
                <w:id w:val="1485042436"/>
              </w:sdtPr>
              <w:sdtEndPr/>
              <w:sdtContent>
                <w:r w:rsidR="000D0175">
                  <w:rPr>
                    <w:rFonts w:ascii="MS Gothic" w:eastAsia="MS Gothic" w:hAnsi="MS Gothic" w:hint="eastAsia"/>
                    <w:color w:val="000000"/>
                    <w:spacing w:val="-2"/>
                  </w:rPr>
                  <w:t>☒</w:t>
                </w:r>
              </w:sdtContent>
            </w:sdt>
            <w:r w:rsidR="000D0175">
              <w:rPr>
                <w:rFonts w:ascii="Times New Roman" w:hAnsi="Times New Roman"/>
                <w:color w:val="000000"/>
                <w:spacing w:val="-2"/>
              </w:rPr>
              <w:t xml:space="preserve"> </w:t>
            </w:r>
            <w:r w:rsidR="000D0175" w:rsidRPr="008B4FE6">
              <w:rPr>
                <w:rFonts w:ascii="Times New Roman" w:hAnsi="Times New Roman"/>
                <w:color w:val="000000"/>
                <w:spacing w:val="-2"/>
              </w:rPr>
              <w:t>informatyzacja</w:t>
            </w:r>
          </w:p>
          <w:p w:rsidR="000D0175" w:rsidRPr="008B4FE6" w:rsidRDefault="001D323E" w:rsidP="000D0175">
            <w:pPr>
              <w:spacing w:line="240" w:lineRule="auto"/>
              <w:rPr>
                <w:rFonts w:ascii="Times New Roman" w:hAnsi="Times New Roman"/>
                <w:color w:val="000000"/>
              </w:rPr>
            </w:pPr>
            <w:sdt>
              <w:sdtPr>
                <w:rPr>
                  <w:rFonts w:ascii="Times New Roman" w:hAnsi="Times New Roman"/>
                  <w:color w:val="000000"/>
                  <w:spacing w:val="-2"/>
                </w:rPr>
                <w:id w:val="-170105530"/>
              </w:sdtPr>
              <w:sdtEndPr/>
              <w:sdtContent>
                <w:r w:rsidR="000D0175">
                  <w:rPr>
                    <w:rFonts w:ascii="MS Gothic" w:eastAsia="MS Gothic" w:hAnsi="MS Gothic" w:hint="eastAsia"/>
                    <w:color w:val="000000"/>
                    <w:spacing w:val="-2"/>
                  </w:rPr>
                  <w:t>☒</w:t>
                </w:r>
              </w:sdtContent>
            </w:sdt>
            <w:r w:rsidR="000D0175">
              <w:rPr>
                <w:rFonts w:ascii="Times New Roman" w:hAnsi="Times New Roman"/>
                <w:color w:val="000000"/>
                <w:spacing w:val="-2"/>
              </w:rPr>
              <w:t xml:space="preserve"> zdrowie</w:t>
            </w:r>
          </w:p>
        </w:tc>
      </w:tr>
      <w:tr w:rsidR="000D0175" w:rsidRPr="008B4FE6" w:rsidTr="00481F21">
        <w:trPr>
          <w:gridAfter w:val="1"/>
          <w:wAfter w:w="9" w:type="dxa"/>
          <w:trHeight w:val="712"/>
        </w:trPr>
        <w:tc>
          <w:tcPr>
            <w:tcW w:w="1956" w:type="dxa"/>
            <w:gridSpan w:val="2"/>
            <w:shd w:val="clear" w:color="auto" w:fill="FFFFFF"/>
            <w:vAlign w:val="center"/>
          </w:tcPr>
          <w:p w:rsidR="000D0175" w:rsidRPr="008B4FE6" w:rsidRDefault="000D0175" w:rsidP="000D0175">
            <w:pPr>
              <w:spacing w:line="240" w:lineRule="auto"/>
              <w:rPr>
                <w:rFonts w:ascii="Times New Roman" w:hAnsi="Times New Roman"/>
                <w:color w:val="000000"/>
              </w:rPr>
            </w:pPr>
            <w:r w:rsidRPr="008B4FE6">
              <w:rPr>
                <w:rFonts w:ascii="Times New Roman" w:hAnsi="Times New Roman"/>
                <w:color w:val="000000"/>
              </w:rPr>
              <w:t>Omówienie wpływu</w:t>
            </w:r>
          </w:p>
        </w:tc>
        <w:tc>
          <w:tcPr>
            <w:tcW w:w="8982" w:type="dxa"/>
            <w:gridSpan w:val="14"/>
            <w:shd w:val="clear" w:color="auto" w:fill="FFFFFF"/>
            <w:vAlign w:val="center"/>
          </w:tcPr>
          <w:p w:rsidR="000D0175" w:rsidRPr="00FD0FEE" w:rsidRDefault="000D0175" w:rsidP="000D0175">
            <w:pPr>
              <w:spacing w:line="240" w:lineRule="auto"/>
              <w:jc w:val="both"/>
              <w:rPr>
                <w:rFonts w:ascii="Times New Roman" w:hAnsi="Times New Roman"/>
                <w:b/>
                <w:color w:val="000000"/>
                <w:spacing w:val="-2"/>
              </w:rPr>
            </w:pPr>
            <w:r w:rsidRPr="00FD0FEE">
              <w:rPr>
                <w:rFonts w:ascii="Times New Roman" w:hAnsi="Times New Roman"/>
                <w:b/>
                <w:color w:val="000000"/>
                <w:spacing w:val="-2"/>
              </w:rPr>
              <w:t>Zdrowie:</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Ekspozycja na zanieczyszczenia powietrza ma negatywny wpływ na zdrowie mieszkańców. W literaturze naukowej udokumentowano całe spektrum efektów zdrowotnych ekspozycji na zanieczyszczenia, do których należą:</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w:t>
            </w:r>
            <w:r>
              <w:rPr>
                <w:rFonts w:ascii="Times New Roman" w:hAnsi="Times New Roman"/>
                <w:color w:val="000000"/>
                <w:spacing w:val="-2"/>
              </w:rPr>
              <w:t xml:space="preserve"> p</w:t>
            </w:r>
            <w:r w:rsidRPr="00FD0FEE">
              <w:rPr>
                <w:rFonts w:ascii="Times New Roman" w:hAnsi="Times New Roman"/>
                <w:color w:val="000000"/>
                <w:spacing w:val="-2"/>
              </w:rPr>
              <w:t>roblemy z pamięcią i koncentracją, wyższy poziom niepokoju, stany depresyjne, zmiany anatomiczne w mózgu, przyspieszone starzenie się układu nerwowego, udar mózgu</w:t>
            </w:r>
            <w:r>
              <w:rPr>
                <w:rFonts w:ascii="Times New Roman" w:hAnsi="Times New Roman"/>
                <w:color w:val="000000"/>
                <w:spacing w:val="-2"/>
              </w:rPr>
              <w:t>,</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w:t>
            </w:r>
            <w:r>
              <w:rPr>
                <w:rFonts w:ascii="Times New Roman" w:hAnsi="Times New Roman"/>
                <w:color w:val="000000"/>
                <w:spacing w:val="-2"/>
              </w:rPr>
              <w:t xml:space="preserve"> z</w:t>
            </w:r>
            <w:r w:rsidRPr="00FD0FEE">
              <w:rPr>
                <w:rFonts w:ascii="Times New Roman" w:hAnsi="Times New Roman"/>
                <w:color w:val="000000"/>
                <w:spacing w:val="-2"/>
              </w:rPr>
              <w:t>awał serca, nadciśnienie tętnicze, choroba niedokrwienna serca, zaburzenia rytmu serca, niewydolność serca</w:t>
            </w:r>
            <w:r>
              <w:rPr>
                <w:rFonts w:ascii="Times New Roman" w:hAnsi="Times New Roman"/>
                <w:color w:val="000000"/>
                <w:spacing w:val="-2"/>
              </w:rPr>
              <w:t>,</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w:t>
            </w:r>
            <w:r>
              <w:rPr>
                <w:rFonts w:ascii="Times New Roman" w:hAnsi="Times New Roman"/>
                <w:color w:val="000000"/>
                <w:spacing w:val="-2"/>
              </w:rPr>
              <w:t xml:space="preserve"> z</w:t>
            </w:r>
            <w:r w:rsidRPr="00FD0FEE">
              <w:rPr>
                <w:rFonts w:ascii="Times New Roman" w:hAnsi="Times New Roman"/>
                <w:color w:val="000000"/>
                <w:spacing w:val="-2"/>
              </w:rPr>
              <w:t>aostrzenie astmy, rak płuca, zaostrzenie POChP, częstsze infekcje dróg oddechowych</w:t>
            </w:r>
            <w:r>
              <w:rPr>
                <w:rFonts w:ascii="Times New Roman" w:hAnsi="Times New Roman"/>
                <w:color w:val="000000"/>
                <w:spacing w:val="-2"/>
              </w:rPr>
              <w:t>,</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w:t>
            </w:r>
            <w:r>
              <w:rPr>
                <w:rFonts w:ascii="Times New Roman" w:hAnsi="Times New Roman"/>
                <w:color w:val="000000"/>
                <w:spacing w:val="-2"/>
              </w:rPr>
              <w:t xml:space="preserve"> n</w:t>
            </w:r>
            <w:r w:rsidRPr="00FD0FEE">
              <w:rPr>
                <w:rFonts w:ascii="Times New Roman" w:hAnsi="Times New Roman"/>
                <w:color w:val="000000"/>
                <w:spacing w:val="-2"/>
              </w:rPr>
              <w:t>egatywny wpływ na płodność, niska waga urodzeniowa, obumarcie płodu, przedwczesny poród</w:t>
            </w:r>
            <w:r>
              <w:rPr>
                <w:rFonts w:ascii="Times New Roman" w:hAnsi="Times New Roman"/>
                <w:color w:val="000000"/>
                <w:spacing w:val="-2"/>
              </w:rPr>
              <w:t>,</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w:t>
            </w:r>
            <w:r>
              <w:rPr>
                <w:rFonts w:ascii="Times New Roman" w:hAnsi="Times New Roman"/>
                <w:color w:val="000000"/>
                <w:spacing w:val="-2"/>
              </w:rPr>
              <w:t xml:space="preserve"> p</w:t>
            </w:r>
            <w:r w:rsidRPr="00FD0FEE">
              <w:rPr>
                <w:rFonts w:ascii="Times New Roman" w:hAnsi="Times New Roman"/>
                <w:color w:val="000000"/>
                <w:spacing w:val="-2"/>
              </w:rPr>
              <w:t>roblemy z oddychaniem, podrażnienie oczu, nosa i gardła, kaszel, katar, zapalenie zatok</w:t>
            </w:r>
            <w:r>
              <w:rPr>
                <w:rFonts w:ascii="Times New Roman" w:hAnsi="Times New Roman"/>
                <w:color w:val="000000"/>
                <w:spacing w:val="-2"/>
              </w:rPr>
              <w:t>.</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 xml:space="preserve">Należy również podkreślić, że w zależności od rodzaju przyjętych szacunków, zanieczyszczenie powietrza powoduje w Polsce ok. 26–48 tys. przedwczesnych zgonów rocznie. Zgodnie z rekomendowanymi przez WHO współczynnikami ryzyka dla ekspozycji długoterminowej, rocznie z powodu zanieczyszczenia powietrza samym tylko pyłem PM2.5 </w:t>
            </w:r>
            <w:r w:rsidRPr="00FD0FEE">
              <w:rPr>
                <w:rFonts w:ascii="Times New Roman" w:hAnsi="Times New Roman"/>
                <w:color w:val="000000"/>
                <w:spacing w:val="-2"/>
              </w:rPr>
              <w:lastRenderedPageBreak/>
              <w:t xml:space="preserve">umiera w naszym kraju ponad 44 tys. osób (dane dla roku 2012). Ponadto zanieczyszczenie powietrza przyczynia się również do skrócenia oczekiwanej długości życia w Polsce nawet o ponad rok. </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Z najnowszych badań można określić, że w 2016 r. 19 tys. zgonów można przypisać emisji zanieczyszczeń z sektora bytowo-komunalnego, zwanego „niską emisją”. Zewnętrzne koszty zdrowotne wyniosły, w zależności od przyjętej metodyki, między 12,9 a 30,0 mld EUR w 2016 r.</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 xml:space="preserve">Według niektórych opracowań w 2015 r. jedynie z powodu ekspozycji na pył PM2,5 utracono w Polsce ok. 16 mln dni pracy, a związane z tym koszty oszacowano na niemal 2,1 mld euro rocznie. Szacuje się również, że zanieczyszczenie powietrza przyczynia się w Polsce do ponad 572 tys. straconych lat życia wolnych od choroby (DALY, disability adjusted life-years) rocznie. </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Skutki zdrowotne zanieczyszczenia powietrza bardzo mocno obciążają system opieki zdrowotnej w Polsce: konsultacje u lekarzy pierwszego kontaktu oraz specjalistów, badania diagnostyczne, hospitalizacje, terapie. Dla przykładu, koszty leczenia skrajnej niewydolności serca mogą być następujące: sztuczna lewa komora kosztuje 600 tys. zł, pozaustrojowe utlenowanie krwi (ECMO) – 20 tys. zł w pierwszej dobie, później koszty opieki to około 4 tys. zł dziennie, przeczep serca – 120 tys. zł.</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Poprawa jakości powietrza w gminach jest równoznaczna z redukcją negatywnych skutków zdrowotnych, w szczególności w miastach z wysokimi stężeniami zanieczyszczenia powietrza atmosferycznego. Ilość tych skutków można oszacować wykorzystując funkcję stężenie – odpowiedź. Światowa Organizacja Zdrowia rekomenduje zestaw funkcji w raporcie HRAPIE, dzięki czemu może zostać obliczona m.in. liczba  przedwstępnych zgonów w RP wynikająca ze złej jakości powietrza. Jednocześnie WHO tworzy listę 50 najbardziej zanieczyszczonych miast w Europie, do której należy 36 miast polskich. W tych miejscowościach według szacunków Zespołu roboczego  d</w:t>
            </w:r>
            <w:r>
              <w:rPr>
                <w:rFonts w:ascii="Times New Roman" w:hAnsi="Times New Roman"/>
                <w:color w:val="000000"/>
                <w:spacing w:val="-2"/>
              </w:rPr>
              <w:t>o spraw</w:t>
            </w:r>
            <w:r w:rsidRPr="00FD0FEE">
              <w:rPr>
                <w:rFonts w:ascii="Times New Roman" w:hAnsi="Times New Roman"/>
                <w:color w:val="000000"/>
                <w:spacing w:val="-2"/>
              </w:rPr>
              <w:t xml:space="preserve"> wpływu zanieczyszczenia powietrza na zdrowie w resorcie zdrowia, wykorzystując krzywe z raportu HRAPIE, redukcja stężeń zanieczyszczeń do poziomu rekomendowanego przez WHO pozwoli na zmniejszenie o :</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1)</w:t>
            </w:r>
            <w:r>
              <w:rPr>
                <w:rFonts w:ascii="Times New Roman" w:hAnsi="Times New Roman"/>
                <w:color w:val="000000"/>
                <w:spacing w:val="-2"/>
              </w:rPr>
              <w:t xml:space="preserve"> </w:t>
            </w:r>
            <w:r w:rsidRPr="00FD0FEE">
              <w:rPr>
                <w:rFonts w:ascii="Times New Roman" w:hAnsi="Times New Roman"/>
                <w:color w:val="000000"/>
                <w:spacing w:val="-2"/>
              </w:rPr>
              <w:t>10,3%-17% przedwczesnych zgonów z przyczyn naturalnych w grupie 30lat+;</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2)</w:t>
            </w:r>
            <w:r>
              <w:rPr>
                <w:rFonts w:ascii="Times New Roman" w:hAnsi="Times New Roman"/>
                <w:color w:val="000000"/>
                <w:spacing w:val="-2"/>
              </w:rPr>
              <w:t xml:space="preserve"> </w:t>
            </w:r>
            <w:r w:rsidRPr="00FD0FEE">
              <w:rPr>
                <w:rFonts w:ascii="Times New Roman" w:hAnsi="Times New Roman"/>
                <w:color w:val="000000"/>
                <w:spacing w:val="-2"/>
              </w:rPr>
              <w:t>17,5%-19,8% liczby zachorowań na zapalenie oskrzeli wśród dzieci w grupie 6-18 lat;</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3)</w:t>
            </w:r>
            <w:r>
              <w:rPr>
                <w:rFonts w:ascii="Times New Roman" w:hAnsi="Times New Roman"/>
                <w:color w:val="000000"/>
                <w:spacing w:val="-2"/>
              </w:rPr>
              <w:t xml:space="preserve"> </w:t>
            </w:r>
            <w:r w:rsidRPr="00FD0FEE">
              <w:rPr>
                <w:rFonts w:ascii="Times New Roman" w:hAnsi="Times New Roman"/>
                <w:color w:val="000000"/>
                <w:spacing w:val="-2"/>
              </w:rPr>
              <w:t>24,2%-39,9% przypadków nowych zachorowań na przewlekłe zapalenia oskrzeli wśród dorosłych w grupie 18lat +;</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4)</w:t>
            </w:r>
            <w:r>
              <w:rPr>
                <w:rFonts w:ascii="Times New Roman" w:hAnsi="Times New Roman"/>
                <w:color w:val="000000"/>
                <w:spacing w:val="-2"/>
              </w:rPr>
              <w:t xml:space="preserve"> </w:t>
            </w:r>
            <w:r w:rsidRPr="00FD0FEE">
              <w:rPr>
                <w:rFonts w:ascii="Times New Roman" w:hAnsi="Times New Roman"/>
                <w:color w:val="000000"/>
                <w:spacing w:val="-2"/>
              </w:rPr>
              <w:t>7,8%-13,0&amp; liczby dni absencji zawodowej.</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 xml:space="preserve">Przedstawione wyniki analizy dotyczą skutków zdrowotnych ekspozycji rocznej. Dodatkowo z powodu wysokich stężeń krótkoterminowych (dni, tygodnie) zwiększa się ryzyko zaostrzeń chorób przewlekłych układu oddechowego i krążenia, które mogą zakończyć się nieplanowaną hospitalizacją. Natomiast osoby z astmą, w szczególności dzieci, w wyniku epizodów smogowych mają częstsze symptomy tej choroby.  </w:t>
            </w:r>
          </w:p>
          <w:p w:rsidR="000D0175" w:rsidRPr="00FD0FEE" w:rsidRDefault="000D0175" w:rsidP="000D0175">
            <w:pPr>
              <w:spacing w:line="240" w:lineRule="auto"/>
              <w:jc w:val="both"/>
              <w:rPr>
                <w:rFonts w:ascii="Times New Roman" w:hAnsi="Times New Roman"/>
                <w:b/>
                <w:color w:val="000000"/>
                <w:spacing w:val="-2"/>
              </w:rPr>
            </w:pPr>
            <w:r w:rsidRPr="00FD0FEE">
              <w:rPr>
                <w:rFonts w:ascii="Times New Roman" w:hAnsi="Times New Roman"/>
                <w:b/>
                <w:color w:val="000000"/>
                <w:spacing w:val="-2"/>
              </w:rPr>
              <w:t>Środowisko naturalne:</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 xml:space="preserve">Pył zawieszony dociera praktycznie wszędzie, dlatego wprowadzając niepożądane substancje do powietrza, wody, gleby, tym samym wprowadzane są do wszystkich organizmów, które oddychają, spożywają wodę i roślinność wzrastającą na skażonej glebie. </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 xml:space="preserve">Najbardziej odczuwalnymi skutkami niskiej emisji są: zwiększony poziom zachorowalności na choroby układu oddechowego oraz nowotworowe i związana z tym większa śmiertelność ludzi i zwierząt, kwaśne deszcze – silnie zanieczyszczające glebę i wodę, oddziałujące pośrednio na stan środowiska naturalnego, uszkadzające zabytki i cenne obiekty, a także zawartość CO2 w powietrzu. Pyły mogą oddziaływać na roślinność zarówno w sposób bezpośredni – poprzez depozycję na powierzchni liści, jak i pośredni – przez zmianę chemizmu gleby. Wraz z pyłem do ekosystemów przenikają m.in. azotany i siarczany oraz ich związki, metale ciężkie, związki organiczne, mogące wykazać bezpośredni wpływ na fizjologię liści lub wpływać na chemizm podłoża. </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Najważniejsze efekty środowiskowe związane z depozycją pyłów występują w glebie. W strefie korzeniowej pyły wpływają głównie na wzrost bakterii i grzybów biorących udział w obiegu składników odżywczych oraz pobieraniu składników pokarmowych przez rośliny. Skutki zanieczyszczenia powietrza odczuwamy również pośrednio, na przykład jedząc skażone nim mięso zwierząt.</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lastRenderedPageBreak/>
              <w:t>Agresywne czynniki chemiczne oddziałują nie tylko na ludzi,  zwierzęta czy rośliny, ale nawet na materiały (w tym budowlane), powodując ich korozję oraz szybsze niszczenie zabytkowych obiektów. Depozycja pyłu na powierzchni materiałów budowlanych, w tym także zabytków i pomników, prowadzi do ich uszkodzeń zarówno fizycznych jaki i estetycznych, powodując zarówno wymierne straty finansowe jak i niewymierne straty dziedzictwa kulturowego.</w:t>
            </w:r>
          </w:p>
          <w:p w:rsidR="000D0175" w:rsidRPr="00FD0FEE"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Materiały budowlane – metale, kamienie, cement, farby – ulegają degradacji, a wszelkie zanieczyszczenia powietrza, w tym także pyły, przyspieszają korozję metali oraz niszczenie materiałów wykonanych z kamienia.</w:t>
            </w:r>
          </w:p>
          <w:p w:rsidR="000D0175" w:rsidRPr="00FD0FEE" w:rsidRDefault="000D0175" w:rsidP="000D0175">
            <w:pPr>
              <w:spacing w:line="240" w:lineRule="auto"/>
              <w:jc w:val="both"/>
              <w:rPr>
                <w:rFonts w:ascii="Times New Roman" w:hAnsi="Times New Roman"/>
                <w:b/>
                <w:color w:val="000000"/>
                <w:spacing w:val="-2"/>
              </w:rPr>
            </w:pPr>
            <w:r w:rsidRPr="00FD0FEE">
              <w:rPr>
                <w:rFonts w:ascii="Times New Roman" w:hAnsi="Times New Roman"/>
                <w:b/>
                <w:color w:val="000000"/>
                <w:spacing w:val="-2"/>
              </w:rPr>
              <w:t>Rozwój regionalny:</w:t>
            </w:r>
          </w:p>
          <w:p w:rsidR="000D0175" w:rsidRDefault="000D0175" w:rsidP="000D0175">
            <w:pPr>
              <w:spacing w:line="240" w:lineRule="auto"/>
              <w:jc w:val="both"/>
              <w:rPr>
                <w:rFonts w:ascii="Times New Roman" w:hAnsi="Times New Roman"/>
                <w:color w:val="000000"/>
                <w:spacing w:val="-2"/>
              </w:rPr>
            </w:pPr>
            <w:r w:rsidRPr="00FD0FEE">
              <w:rPr>
                <w:rFonts w:ascii="Times New Roman" w:hAnsi="Times New Roman"/>
                <w:color w:val="000000"/>
                <w:spacing w:val="-2"/>
              </w:rPr>
              <w:t>Regulacja będzie miała wpływ na sytuację i rozwój regionalny ponieważ skupia się przede wszystkim na działaniach w regionach – na terenach gmin zlokalizowanych na terenie województw, w tym na obszarze których obowiązują uchwały antysmogowe.</w:t>
            </w:r>
          </w:p>
          <w:p w:rsidR="000D0175" w:rsidRPr="00FD0FEE" w:rsidRDefault="000D0175" w:rsidP="000D0175">
            <w:pPr>
              <w:spacing w:line="240" w:lineRule="auto"/>
              <w:jc w:val="both"/>
              <w:rPr>
                <w:rFonts w:ascii="Times New Roman" w:hAnsi="Times New Roman"/>
                <w:b/>
                <w:color w:val="000000"/>
                <w:spacing w:val="-2"/>
              </w:rPr>
            </w:pPr>
            <w:r w:rsidRPr="00FD0FEE">
              <w:rPr>
                <w:rFonts w:ascii="Times New Roman" w:hAnsi="Times New Roman"/>
                <w:b/>
                <w:color w:val="000000"/>
                <w:spacing w:val="-2"/>
              </w:rPr>
              <w:t>Informatyzacja:</w:t>
            </w:r>
          </w:p>
          <w:p w:rsidR="000D0175" w:rsidRPr="00F9566D"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t>W zakresie systemu informatycznego służącego m.in. obsłudze CEEB po</w:t>
            </w:r>
            <w:r w:rsidRPr="00F9566D">
              <w:rPr>
                <w:rFonts w:ascii="Times New Roman" w:hAnsi="Times New Roman"/>
                <w:color w:val="000000"/>
                <w:spacing w:val="-2"/>
              </w:rPr>
              <w:t>zwoli na:</w:t>
            </w:r>
          </w:p>
          <w:p w:rsidR="000D0175" w:rsidRPr="00F9566D" w:rsidRDefault="000D0175" w:rsidP="000D0175">
            <w:pPr>
              <w:spacing w:line="240" w:lineRule="auto"/>
              <w:jc w:val="both"/>
              <w:rPr>
                <w:rFonts w:ascii="Times New Roman" w:hAnsi="Times New Roman"/>
                <w:color w:val="000000"/>
                <w:spacing w:val="-2"/>
              </w:rPr>
            </w:pPr>
            <w:r w:rsidRPr="00F9566D">
              <w:rPr>
                <w:rFonts w:ascii="Times New Roman" w:hAnsi="Times New Roman"/>
                <w:color w:val="000000"/>
                <w:spacing w:val="-2"/>
              </w:rPr>
              <w:t xml:space="preserve">1) zastosowanie jednolitej metodyki inwentaryzacji </w:t>
            </w:r>
            <w:r>
              <w:rPr>
                <w:rFonts w:ascii="Times New Roman" w:hAnsi="Times New Roman"/>
                <w:color w:val="000000"/>
                <w:spacing w:val="-2"/>
              </w:rPr>
              <w:t xml:space="preserve">źródeł ciepła, źródeł energii elektrycznej oraz </w:t>
            </w:r>
            <w:r w:rsidRPr="00F9566D">
              <w:rPr>
                <w:rFonts w:ascii="Times New Roman" w:hAnsi="Times New Roman"/>
                <w:color w:val="000000"/>
                <w:spacing w:val="-2"/>
              </w:rPr>
              <w:t>źródeł spalania paliw o nominalnej mocy poniżej 1 MW (źródeł tzw. niskiej emisji) wraz z inwentaryzacją ilości i rodzaju spalanach paliw w tych źródłach;</w:t>
            </w:r>
          </w:p>
          <w:p w:rsidR="000D0175" w:rsidRPr="00F9566D"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t xml:space="preserve">2) </w:t>
            </w:r>
            <w:r w:rsidRPr="00F9566D">
              <w:rPr>
                <w:rFonts w:ascii="Times New Roman" w:hAnsi="Times New Roman"/>
                <w:color w:val="000000"/>
                <w:spacing w:val="-2"/>
              </w:rPr>
              <w:t>zastosowanie szerokiego i rzetelnego procesu walidacji i normalizacji dostępnych danych związanych ze źródłami tzw. niskiej emisji;</w:t>
            </w:r>
          </w:p>
          <w:p w:rsidR="000D0175" w:rsidRPr="00F9566D"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t xml:space="preserve">3) </w:t>
            </w:r>
            <w:r w:rsidRPr="00F9566D">
              <w:rPr>
                <w:rFonts w:ascii="Times New Roman" w:hAnsi="Times New Roman"/>
                <w:color w:val="000000"/>
                <w:spacing w:val="-2"/>
              </w:rPr>
              <w:t>uwzględnienie jednolitych algorytmów szacowania wielkości emisji poszczególnych substancji dla każdego obiektu, gdzie ww. źródła funkcjonują, w oparciu o bilans paliw, klasę i typ urządzeń grzewczych oraz zapotrzebowania na ciepło danego obiektu;</w:t>
            </w:r>
          </w:p>
          <w:p w:rsidR="000D0175" w:rsidRPr="00F9566D"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t xml:space="preserve">4) </w:t>
            </w:r>
            <w:r w:rsidRPr="00F9566D">
              <w:rPr>
                <w:rFonts w:ascii="Times New Roman" w:hAnsi="Times New Roman"/>
                <w:color w:val="000000"/>
                <w:spacing w:val="-2"/>
              </w:rPr>
              <w:t xml:space="preserve">przygotowanie wiarygodnych danych na potrzeby tworzonych lokalnych, regionalnych i krajowych systemów wspomagania decyzji w zarządzaniu jakością powietrza, w tym wykorzystujących techniki numeryczne i modelowanie matematyczne jakości powietrza; </w:t>
            </w:r>
          </w:p>
          <w:p w:rsidR="000D0175" w:rsidRPr="00F9566D"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t xml:space="preserve">5) </w:t>
            </w:r>
            <w:r w:rsidRPr="00F9566D">
              <w:rPr>
                <w:rFonts w:ascii="Times New Roman" w:hAnsi="Times New Roman"/>
                <w:color w:val="000000"/>
                <w:spacing w:val="-2"/>
              </w:rPr>
              <w:t>przygotowanie wiarygodnych danych na potrzeby opracowywanych programów ochrony powietrza, w tym na potrzeby tworzenia scenariuszy redukcji emisji z sektora komunalno-bytowego w tych programach, co doprowadzi do optymalizacji działań w tym zakresie podejmowanych przez samorząd terytorialny oraz administrację rządową;</w:t>
            </w:r>
          </w:p>
          <w:p w:rsidR="000D0175" w:rsidRPr="00F9566D"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t xml:space="preserve">6) </w:t>
            </w:r>
            <w:r w:rsidRPr="00F9566D">
              <w:rPr>
                <w:rFonts w:ascii="Times New Roman" w:hAnsi="Times New Roman"/>
                <w:color w:val="000000"/>
                <w:spacing w:val="-2"/>
              </w:rPr>
              <w:t>zgromadzenie i przetwarzanie szerokiego zakresu danych do obliczenia wskaźników monitorowania skuteczności podejmowanych działań naprawczych na szczeblu krajowym, regionalnym i lokalnym, z uwzględnieniem szacowania kosztów inwestycyjnych oraz zewnętrznych (zdrowotnych);</w:t>
            </w:r>
          </w:p>
          <w:p w:rsidR="000D0175" w:rsidRPr="00F9566D"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t xml:space="preserve">7) </w:t>
            </w:r>
            <w:r w:rsidRPr="00F9566D">
              <w:rPr>
                <w:rFonts w:ascii="Times New Roman" w:hAnsi="Times New Roman"/>
                <w:color w:val="000000"/>
                <w:spacing w:val="-2"/>
              </w:rPr>
              <w:t>dostęp do informacji w zakresie tzw. niskiej emisji dla różnego rodzaju i typu odbiorców, w tym dla społeczeństwa, jednostek rządowych i samorządowych, jednostek kontrolnych i inspekcyjnych oraz dla jednostek udzielających różnego rodzaju dofinansowań w zakresie programów szeroko rozumianej redukcji emisji i poprawy jakości powietrza;</w:t>
            </w:r>
          </w:p>
          <w:p w:rsidR="000D0175" w:rsidRPr="00F9566D" w:rsidRDefault="000D0175" w:rsidP="000D0175">
            <w:pPr>
              <w:spacing w:line="240" w:lineRule="auto"/>
              <w:jc w:val="both"/>
              <w:rPr>
                <w:rFonts w:ascii="Times New Roman" w:hAnsi="Times New Roman"/>
                <w:color w:val="000000"/>
                <w:spacing w:val="-2"/>
              </w:rPr>
            </w:pPr>
            <w:r w:rsidRPr="00F9566D">
              <w:rPr>
                <w:rFonts w:ascii="Times New Roman" w:hAnsi="Times New Roman"/>
                <w:color w:val="000000"/>
                <w:spacing w:val="-2"/>
              </w:rPr>
              <w:t>8) odpowiednie i zgodne z potrzebami odbiorców - projektowanie sieci ciepłowniczych lub gazowych;</w:t>
            </w:r>
          </w:p>
          <w:p w:rsidR="000D0175" w:rsidRPr="00F9566D"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t xml:space="preserve">9) </w:t>
            </w:r>
            <w:r w:rsidRPr="00F9566D">
              <w:rPr>
                <w:rFonts w:ascii="Times New Roman" w:hAnsi="Times New Roman"/>
                <w:color w:val="000000"/>
                <w:spacing w:val="-2"/>
              </w:rPr>
              <w:t>skoordynowanie wykorzystywanych środków publicznych w ramach dofinansowań udzielanych przez różne instytucje (jednostki samorządu terytorialnego, NFOŚiGW, WFOŚiGW, BGK</w:t>
            </w:r>
            <w:r>
              <w:rPr>
                <w:rFonts w:ascii="Times New Roman" w:hAnsi="Times New Roman"/>
                <w:color w:val="000000"/>
                <w:spacing w:val="-2"/>
              </w:rPr>
              <w:t>, organy KAS</w:t>
            </w:r>
            <w:r w:rsidRPr="00F9566D">
              <w:rPr>
                <w:rFonts w:ascii="Times New Roman" w:hAnsi="Times New Roman"/>
                <w:color w:val="000000"/>
                <w:spacing w:val="-2"/>
              </w:rPr>
              <w:t>) w zakresie: przyznanej premii, ulgi podatkowej lub udzielonego ze środków publicznych finansowaniu albo dofinansowaniu;</w:t>
            </w:r>
          </w:p>
          <w:p w:rsidR="000D0175" w:rsidRPr="008B4FE6" w:rsidRDefault="000D0175" w:rsidP="000D0175">
            <w:pPr>
              <w:spacing w:line="240" w:lineRule="auto"/>
              <w:jc w:val="both"/>
              <w:rPr>
                <w:rFonts w:ascii="Times New Roman" w:hAnsi="Times New Roman"/>
                <w:color w:val="000000"/>
                <w:spacing w:val="-2"/>
              </w:rPr>
            </w:pPr>
            <w:r w:rsidRPr="00F9566D">
              <w:rPr>
                <w:rFonts w:ascii="Times New Roman" w:hAnsi="Times New Roman"/>
                <w:color w:val="000000"/>
                <w:spacing w:val="-2"/>
              </w:rPr>
              <w:t>10) na stworzenie ujednoliconego systemu gromadzenia i przetwarzania informacji w zakresie niskiej emisji, co pozwoli na podejmowanie optymalnych działań zmierzających do poprawy jakości powietrza w Polsce.</w:t>
            </w:r>
          </w:p>
        </w:tc>
      </w:tr>
      <w:tr w:rsidR="000D0175" w:rsidRPr="008B4FE6" w:rsidTr="00481F21">
        <w:trPr>
          <w:gridAfter w:val="1"/>
          <w:wAfter w:w="9" w:type="dxa"/>
          <w:trHeight w:val="142"/>
        </w:trPr>
        <w:tc>
          <w:tcPr>
            <w:tcW w:w="10938" w:type="dxa"/>
            <w:gridSpan w:val="16"/>
            <w:shd w:val="clear" w:color="auto" w:fill="99CCFF"/>
          </w:tcPr>
          <w:p w:rsidR="000D0175" w:rsidRPr="00627221" w:rsidRDefault="000D0175" w:rsidP="000D0175">
            <w:pPr>
              <w:numPr>
                <w:ilvl w:val="0"/>
                <w:numId w:val="3"/>
              </w:numPr>
              <w:spacing w:before="60" w:after="60" w:line="240" w:lineRule="auto"/>
              <w:ind w:left="318" w:hanging="284"/>
              <w:jc w:val="both"/>
              <w:rPr>
                <w:rFonts w:ascii="Times New Roman" w:hAnsi="Times New Roman"/>
                <w:b/>
              </w:rPr>
            </w:pPr>
            <w:r w:rsidRPr="00FD0FEE">
              <w:rPr>
                <w:rFonts w:ascii="Times New Roman" w:hAnsi="Times New Roman"/>
                <w:b/>
                <w:spacing w:val="-2"/>
                <w:sz w:val="21"/>
                <w:szCs w:val="21"/>
              </w:rPr>
              <w:lastRenderedPageBreak/>
              <w:t>Planowane wykonanie przepisów aktu prawnego</w:t>
            </w:r>
          </w:p>
        </w:tc>
      </w:tr>
      <w:tr w:rsidR="000D0175" w:rsidRPr="008B4FE6" w:rsidTr="00481F21">
        <w:trPr>
          <w:gridAfter w:val="1"/>
          <w:wAfter w:w="9" w:type="dxa"/>
          <w:trHeight w:val="142"/>
        </w:trPr>
        <w:tc>
          <w:tcPr>
            <w:tcW w:w="10938" w:type="dxa"/>
            <w:gridSpan w:val="16"/>
            <w:shd w:val="clear" w:color="auto" w:fill="FFFFFF"/>
          </w:tcPr>
          <w:p w:rsidR="000D0175" w:rsidRPr="00F9566D" w:rsidRDefault="000D0175" w:rsidP="000D0175">
            <w:pPr>
              <w:spacing w:line="240" w:lineRule="auto"/>
              <w:jc w:val="both"/>
              <w:rPr>
                <w:rFonts w:ascii="Times New Roman" w:hAnsi="Times New Roman"/>
                <w:spacing w:val="-2"/>
              </w:rPr>
            </w:pPr>
            <w:r w:rsidRPr="00F9566D">
              <w:rPr>
                <w:rFonts w:ascii="Times New Roman" w:hAnsi="Times New Roman"/>
                <w:spacing w:val="-2"/>
              </w:rPr>
              <w:t xml:space="preserve">Wejście w życie projektowanych przepisów prawa stworzy ramy prawne dla funkcjonowania </w:t>
            </w:r>
            <w:r>
              <w:rPr>
                <w:rFonts w:ascii="Times New Roman" w:hAnsi="Times New Roman"/>
                <w:color w:val="000000"/>
                <w:spacing w:val="-2"/>
              </w:rPr>
              <w:t>CEEB</w:t>
            </w:r>
            <w:r>
              <w:rPr>
                <w:rFonts w:ascii="Times New Roman" w:hAnsi="Times New Roman"/>
                <w:spacing w:val="-2"/>
              </w:rPr>
              <w:t xml:space="preserve"> oraz udoskonalenia funkcjonującego Programu Stop Smog oraz rządowego programu priorytetowego „Czyste Powietrze”</w:t>
            </w:r>
            <w:r w:rsidRPr="00F9566D">
              <w:rPr>
                <w:rFonts w:ascii="Times New Roman" w:hAnsi="Times New Roman"/>
                <w:spacing w:val="-2"/>
              </w:rPr>
              <w:t>. Planuje się, że ustawa wejdzie w życie po upływie 3</w:t>
            </w:r>
            <w:r>
              <w:rPr>
                <w:rFonts w:ascii="Times New Roman" w:hAnsi="Times New Roman"/>
                <w:spacing w:val="-2"/>
              </w:rPr>
              <w:t xml:space="preserve">0 dni </w:t>
            </w:r>
            <w:r w:rsidRPr="00F9566D">
              <w:rPr>
                <w:rFonts w:ascii="Times New Roman" w:hAnsi="Times New Roman"/>
                <w:spacing w:val="-2"/>
              </w:rPr>
              <w:t xml:space="preserve">od dnia jej ogłoszenia, z tym, że uruchomienie poszczególnych części funkcjonalności systemu informatycznego nastąpi po ogłoszeniu komunikatu ministra właściwego do spraw </w:t>
            </w:r>
            <w:r w:rsidRPr="00E05EA4">
              <w:rPr>
                <w:rFonts w:ascii="Times New Roman" w:hAnsi="Times New Roman"/>
                <w:color w:val="000000"/>
                <w:spacing w:val="-2"/>
              </w:rPr>
              <w:t>budownictwa, planowania i zagospodarowania przestrzennego oraz mieszkalnictwa</w:t>
            </w:r>
            <w:r w:rsidRPr="00F9566D">
              <w:rPr>
                <w:rFonts w:ascii="Times New Roman" w:hAnsi="Times New Roman"/>
                <w:spacing w:val="-2"/>
              </w:rPr>
              <w:t xml:space="preserve"> o gotowości do wdrożenia rozwiązań technicznych pozwalających na uruchomienie poszczególnych funkcjonalności tego systemu.</w:t>
            </w:r>
          </w:p>
          <w:p w:rsidR="000D0175" w:rsidRDefault="000D0175" w:rsidP="000D0175">
            <w:pPr>
              <w:spacing w:line="240" w:lineRule="auto"/>
              <w:jc w:val="both"/>
              <w:rPr>
                <w:rFonts w:ascii="Times New Roman" w:hAnsi="Times New Roman"/>
                <w:spacing w:val="-2"/>
              </w:rPr>
            </w:pPr>
            <w:r w:rsidRPr="00F9566D">
              <w:rPr>
                <w:rFonts w:ascii="Times New Roman" w:hAnsi="Times New Roman"/>
                <w:spacing w:val="-2"/>
              </w:rPr>
              <w:lastRenderedPageBreak/>
              <w:t xml:space="preserve">Uruchomienie docelowego systemu </w:t>
            </w:r>
            <w:r>
              <w:rPr>
                <w:rFonts w:ascii="Times New Roman" w:hAnsi="Times New Roman"/>
                <w:spacing w:val="-2"/>
              </w:rPr>
              <w:t xml:space="preserve">informatycznego </w:t>
            </w:r>
            <w:r w:rsidRPr="00F9566D">
              <w:rPr>
                <w:rFonts w:ascii="Times New Roman" w:hAnsi="Times New Roman"/>
                <w:spacing w:val="-2"/>
              </w:rPr>
              <w:t xml:space="preserve">zostanie poprzedzone licznymi działaniami promocyjno – komunikacyjnymi skierowanymi w stronę obywateli za pośrednictwem ogólnodostępnych mediów (Internet, prasa, TV, itp.), informującymi o rzeczywistym zakresie wprowadzanych zmian. W tym zakresie, w ramach uzyskanych środków finansowych z POPC </w:t>
            </w:r>
            <w:r>
              <w:rPr>
                <w:rFonts w:ascii="Times New Roman" w:hAnsi="Times New Roman"/>
                <w:spacing w:val="-2"/>
              </w:rPr>
              <w:t xml:space="preserve">wstępnie </w:t>
            </w:r>
            <w:r w:rsidRPr="00F9566D">
              <w:rPr>
                <w:rFonts w:ascii="Times New Roman" w:hAnsi="Times New Roman"/>
                <w:spacing w:val="-2"/>
              </w:rPr>
              <w:t xml:space="preserve">planuje się wydatkowanie 3% ogólnej wartości dofinansowania – na ten cel zostanie przeznaczone ok. 1 mln zł (3% z </w:t>
            </w:r>
            <w:r>
              <w:rPr>
                <w:rFonts w:ascii="Times New Roman" w:hAnsi="Times New Roman"/>
                <w:spacing w:val="-2"/>
              </w:rPr>
              <w:t>3</w:t>
            </w:r>
            <w:r w:rsidRPr="00F9566D">
              <w:rPr>
                <w:rFonts w:ascii="Times New Roman" w:hAnsi="Times New Roman"/>
                <w:spacing w:val="-2"/>
              </w:rPr>
              <w:t>0 mln zł).</w:t>
            </w:r>
          </w:p>
          <w:p w:rsidR="000D0175"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t xml:space="preserve">W zakresie Programu Stop Smog oraz </w:t>
            </w:r>
            <w:r>
              <w:rPr>
                <w:rFonts w:ascii="Times New Roman" w:hAnsi="Times New Roman"/>
                <w:spacing w:val="-2"/>
              </w:rPr>
              <w:t>rządowego programu priorytetowego</w:t>
            </w:r>
            <w:r>
              <w:rPr>
                <w:rFonts w:ascii="Times New Roman" w:hAnsi="Times New Roman"/>
                <w:color w:val="000000"/>
                <w:spacing w:val="-2"/>
              </w:rPr>
              <w:t xml:space="preserve"> „Czyste Powietrze”, przewiduje się działania skierowane do przedstawicieli samorządów, w tym  spotkania indywidualne jak i grupowe z gminami oraz udział w konferencjach tematycznych.</w:t>
            </w:r>
          </w:p>
          <w:p w:rsidR="000D0175" w:rsidRPr="00B37C80" w:rsidRDefault="000D0175" w:rsidP="000D0175">
            <w:pPr>
              <w:spacing w:line="240" w:lineRule="auto"/>
              <w:jc w:val="both"/>
              <w:rPr>
                <w:rFonts w:ascii="Times New Roman" w:hAnsi="Times New Roman"/>
                <w:spacing w:val="-2"/>
              </w:rPr>
            </w:pPr>
          </w:p>
        </w:tc>
      </w:tr>
      <w:tr w:rsidR="000D0175" w:rsidRPr="008B4FE6" w:rsidTr="00481F21">
        <w:trPr>
          <w:gridAfter w:val="1"/>
          <w:wAfter w:w="9" w:type="dxa"/>
          <w:trHeight w:val="142"/>
        </w:trPr>
        <w:tc>
          <w:tcPr>
            <w:tcW w:w="10938" w:type="dxa"/>
            <w:gridSpan w:val="16"/>
            <w:shd w:val="clear" w:color="auto" w:fill="99CCFF"/>
          </w:tcPr>
          <w:p w:rsidR="000D0175" w:rsidRPr="008B4FE6" w:rsidRDefault="000D0175" w:rsidP="000D0175">
            <w:pPr>
              <w:numPr>
                <w:ilvl w:val="0"/>
                <w:numId w:val="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0D0175" w:rsidRPr="008B4FE6" w:rsidTr="00566CBE">
        <w:trPr>
          <w:gridAfter w:val="1"/>
          <w:wAfter w:w="9" w:type="dxa"/>
          <w:trHeight w:val="142"/>
        </w:trPr>
        <w:tc>
          <w:tcPr>
            <w:tcW w:w="10938" w:type="dxa"/>
            <w:gridSpan w:val="16"/>
            <w:shd w:val="clear" w:color="auto" w:fill="FFFFFF"/>
          </w:tcPr>
          <w:p w:rsidR="000D0175"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t>Projektowana regulacja wpisuje się w realizację celów dotyczących m.in. poprawy</w:t>
            </w:r>
            <w:r w:rsidRPr="001C5030">
              <w:rPr>
                <w:rFonts w:ascii="Times New Roman" w:hAnsi="Times New Roman"/>
                <w:color w:val="000000"/>
                <w:spacing w:val="-2"/>
              </w:rPr>
              <w:t xml:space="preserve"> efektywności energetycznej i zmniejszenie emisji pyłów i innych zanieczyszczeń do atmosfery z istniejących jednorodzinnych budynków mieszkalnych lub uniknięcie emisji zanieczyszczeń powietrza, pochodzących z nowo budowanych jednorodzinnych budynków mieszkalnych.</w:t>
            </w:r>
            <w:r>
              <w:rPr>
                <w:rFonts w:ascii="Times New Roman" w:hAnsi="Times New Roman"/>
                <w:color w:val="000000"/>
                <w:spacing w:val="-2"/>
              </w:rPr>
              <w:t xml:space="preserve"> Projektowana regulacja wykorzystuje mierniki zidentyfikowane dla stopnia realizacji tego programu, który </w:t>
            </w:r>
            <w:r w:rsidRPr="001C5030">
              <w:rPr>
                <w:rFonts w:ascii="Times New Roman" w:hAnsi="Times New Roman"/>
                <w:color w:val="000000"/>
                <w:spacing w:val="-2"/>
              </w:rPr>
              <w:t xml:space="preserve">mierzony jest </w:t>
            </w:r>
            <w:r>
              <w:rPr>
                <w:rFonts w:ascii="Times New Roman" w:hAnsi="Times New Roman"/>
                <w:color w:val="000000"/>
                <w:spacing w:val="-2"/>
              </w:rPr>
              <w:t xml:space="preserve">m.in. </w:t>
            </w:r>
            <w:r w:rsidRPr="001C5030">
              <w:rPr>
                <w:rFonts w:ascii="Times New Roman" w:hAnsi="Times New Roman"/>
                <w:color w:val="000000"/>
                <w:spacing w:val="-2"/>
              </w:rPr>
              <w:t>za pomocą następując</w:t>
            </w:r>
            <w:r>
              <w:rPr>
                <w:rFonts w:ascii="Times New Roman" w:hAnsi="Times New Roman"/>
                <w:color w:val="000000"/>
                <w:spacing w:val="-2"/>
              </w:rPr>
              <w:t>ych wskaźników osiągnięcia celu: l</w:t>
            </w:r>
            <w:r w:rsidRPr="001C5030">
              <w:rPr>
                <w:rFonts w:ascii="Times New Roman" w:hAnsi="Times New Roman"/>
                <w:color w:val="000000"/>
                <w:spacing w:val="-2"/>
              </w:rPr>
              <w:t>iczba budynków mieszkalnych o poprawio</w:t>
            </w:r>
            <w:r>
              <w:rPr>
                <w:rFonts w:ascii="Times New Roman" w:hAnsi="Times New Roman"/>
                <w:color w:val="000000"/>
                <w:spacing w:val="-2"/>
              </w:rPr>
              <w:t>nej efektywności energetycznej, l</w:t>
            </w:r>
            <w:r w:rsidRPr="001C5030">
              <w:rPr>
                <w:rFonts w:ascii="Times New Roman" w:hAnsi="Times New Roman"/>
                <w:color w:val="000000"/>
                <w:spacing w:val="-2"/>
              </w:rPr>
              <w:t>iczba wymienionych nieefektywnych źródeł ciepła (kotłów starej generacji) na niskoem</w:t>
            </w:r>
            <w:r>
              <w:rPr>
                <w:rFonts w:ascii="Times New Roman" w:hAnsi="Times New Roman"/>
                <w:color w:val="000000"/>
                <w:spacing w:val="-2"/>
              </w:rPr>
              <w:t>isyjne w budynkach istniejących, l</w:t>
            </w:r>
            <w:r w:rsidRPr="001C5030">
              <w:rPr>
                <w:rFonts w:ascii="Times New Roman" w:hAnsi="Times New Roman"/>
                <w:color w:val="000000"/>
                <w:spacing w:val="-2"/>
              </w:rPr>
              <w:t xml:space="preserve">iczba zamontowanych niskoemisyjnych źródeł ciepła </w:t>
            </w:r>
            <w:r>
              <w:rPr>
                <w:rFonts w:ascii="Times New Roman" w:hAnsi="Times New Roman"/>
                <w:color w:val="000000"/>
                <w:spacing w:val="-2"/>
              </w:rPr>
              <w:t xml:space="preserve">w budynkach nowo budowanych, ograniczenie emisji: SO2, </w:t>
            </w:r>
            <w:r w:rsidRPr="001C5030">
              <w:rPr>
                <w:rFonts w:ascii="Times New Roman" w:hAnsi="Times New Roman"/>
                <w:color w:val="000000"/>
                <w:spacing w:val="-2"/>
              </w:rPr>
              <w:t>pyłów o średnicy mniej</w:t>
            </w:r>
            <w:r>
              <w:rPr>
                <w:rFonts w:ascii="Times New Roman" w:hAnsi="Times New Roman"/>
                <w:color w:val="000000"/>
                <w:spacing w:val="-2"/>
              </w:rPr>
              <w:t xml:space="preserve">szej niż 10 mikrometrów (PM10), </w:t>
            </w:r>
            <w:r w:rsidRPr="001C5030">
              <w:rPr>
                <w:rFonts w:ascii="Times New Roman" w:hAnsi="Times New Roman"/>
                <w:color w:val="000000"/>
                <w:spacing w:val="-2"/>
              </w:rPr>
              <w:t>pyłów o średnicy mniejs</w:t>
            </w:r>
            <w:r>
              <w:rPr>
                <w:rFonts w:ascii="Times New Roman" w:hAnsi="Times New Roman"/>
                <w:color w:val="000000"/>
                <w:spacing w:val="-2"/>
              </w:rPr>
              <w:t>zej niż 2,5 mikrometra (PM2,5), benzo-α-pirenu oraz CO</w:t>
            </w:r>
            <w:r w:rsidRPr="00481F21">
              <w:rPr>
                <w:rFonts w:ascii="Times New Roman" w:hAnsi="Times New Roman"/>
                <w:color w:val="000000"/>
                <w:spacing w:val="-2"/>
                <w:vertAlign w:val="subscript"/>
              </w:rPr>
              <w:t>2</w:t>
            </w:r>
            <w:r>
              <w:rPr>
                <w:rFonts w:ascii="Times New Roman" w:hAnsi="Times New Roman"/>
                <w:color w:val="000000"/>
                <w:spacing w:val="-2"/>
              </w:rPr>
              <w:t xml:space="preserve">. </w:t>
            </w:r>
            <w:r w:rsidRPr="00974F66">
              <w:rPr>
                <w:rFonts w:ascii="Times New Roman" w:hAnsi="Times New Roman"/>
                <w:color w:val="000000"/>
                <w:spacing w:val="-2"/>
              </w:rPr>
              <w:t>Zgodnie z pierwotnymi i ww. danymi, szacuje się, że Programem zostanie objętych 23 806 budynków. Biorąc pod uwagę dotychczasowe warunki w zakresie skali wymiany źródeł ciepła w budynkach objętych Programem  (min. 80%), docelowa liczba wymienionych nieefektywnych źródeł ciepła powinna wynieść min</w:t>
            </w:r>
            <w:r w:rsidR="00F8602E">
              <w:rPr>
                <w:rFonts w:ascii="Times New Roman" w:hAnsi="Times New Roman"/>
                <w:color w:val="000000"/>
                <w:spacing w:val="-2"/>
              </w:rPr>
              <w:t>imum</w:t>
            </w:r>
            <w:r w:rsidRPr="00974F66">
              <w:rPr>
                <w:rFonts w:ascii="Times New Roman" w:hAnsi="Times New Roman"/>
                <w:color w:val="000000"/>
                <w:spacing w:val="-2"/>
              </w:rPr>
              <w:t xml:space="preserve"> 19 045. Biorąc pod uwagę, że wybór docelowego źródła ciepła będzie uzależniony od wielu czynników, w tym przede wszystkim od wyniku audytów energetycznych oraz decyzji beneficjenta końcowego, nie jest możliwe w tym momencie oszacowanie liczbowe poziomu ograniczenia emisji poszczególnych substancji, gdyż jest to uzależnione od wybranej technologii.  </w:t>
            </w:r>
          </w:p>
          <w:p w:rsidR="000D0175"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t xml:space="preserve">Zakłada się weryfikację współpracy na poziomie administracji rządowej i samorządowej, uwzględniającej zgromadzone w CEEB dane, które są zcentralizowane i przyczyniają się do efektywnego wykorzystywania środków publicznych na działania związane z ochroną powietrza, w tym realizację programów ochrony powietrza oraz termomodernizację. </w:t>
            </w:r>
          </w:p>
          <w:p w:rsidR="000D0175" w:rsidRPr="00AA0339"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t>Rozwiązanie wpisuje się w bieżące</w:t>
            </w:r>
            <w:r>
              <w:rPr>
                <w:rFonts w:ascii="Times New Roman" w:hAnsi="Times New Roman"/>
              </w:rPr>
              <w:t xml:space="preserve"> „</w:t>
            </w:r>
            <w:r w:rsidRPr="00AA0339">
              <w:rPr>
                <w:rFonts w:ascii="Times New Roman" w:hAnsi="Times New Roman"/>
              </w:rPr>
              <w:t>Monitorowanie realizacji rekomendacji Komitetu Ekonomicznego Rady Ministrów w sprawie działań niezbędnych do podjęcia w związku z występowaniem na znacznym obszarze kraju wysokich s</w:t>
            </w:r>
            <w:r>
              <w:rPr>
                <w:rFonts w:ascii="Times New Roman" w:hAnsi="Times New Roman"/>
              </w:rPr>
              <w:t>tężeń zanieczyszczeń powietrza” stosownie do zarządzenia</w:t>
            </w:r>
            <w:r w:rsidRPr="00AA0339">
              <w:rPr>
                <w:rFonts w:ascii="Times New Roman" w:hAnsi="Times New Roman"/>
              </w:rPr>
              <w:t xml:space="preserve"> nr 41 Prezesa Rady Ministrów</w:t>
            </w:r>
            <w:r>
              <w:rPr>
                <w:rFonts w:ascii="Times New Roman" w:hAnsi="Times New Roman"/>
              </w:rPr>
              <w:t>.</w:t>
            </w:r>
          </w:p>
          <w:p w:rsidR="000D0175"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t>Dodatkowo p</w:t>
            </w:r>
            <w:r w:rsidRPr="003875A4">
              <w:rPr>
                <w:rFonts w:ascii="Times New Roman" w:hAnsi="Times New Roman"/>
                <w:color w:val="000000"/>
                <w:spacing w:val="-2"/>
              </w:rPr>
              <w:t xml:space="preserve">roponuje się oszacowanie - po pół roku od uruchomienia poszczególnych funkcjonalności systemu, tj. począwszy od wdrożenia pierwszej funkcjonalności systemu (moduł dostępowy) w ramach </w:t>
            </w:r>
            <w:r>
              <w:rPr>
                <w:rFonts w:ascii="Times New Roman" w:hAnsi="Times New Roman"/>
                <w:color w:val="000000"/>
                <w:spacing w:val="-2"/>
              </w:rPr>
              <w:t xml:space="preserve">CEEB </w:t>
            </w:r>
            <w:r w:rsidRPr="003875A4">
              <w:rPr>
                <w:rFonts w:ascii="Times New Roman" w:hAnsi="Times New Roman"/>
                <w:color w:val="000000"/>
                <w:spacing w:val="-2"/>
              </w:rPr>
              <w:t>- liczby osób uprawnionych wpisanych do wykazu osób uprawnionych, w stosunku do liczby osób, które powinny być podłączone do systemu</w:t>
            </w:r>
            <w:r>
              <w:rPr>
                <w:rFonts w:ascii="Times New Roman" w:hAnsi="Times New Roman"/>
                <w:color w:val="000000"/>
                <w:spacing w:val="-2"/>
              </w:rPr>
              <w:t xml:space="preserve"> CEEB</w:t>
            </w:r>
            <w:r w:rsidRPr="003875A4">
              <w:rPr>
                <w:rFonts w:ascii="Times New Roman" w:hAnsi="Times New Roman"/>
                <w:color w:val="000000"/>
                <w:spacing w:val="-2"/>
              </w:rPr>
              <w:t>. Ewaluacja efektów usług powinna nastąpić pół roku od uruchomienia każdej z usług stworzonej na podstawie uchwalonych przepisów.</w:t>
            </w:r>
          </w:p>
          <w:p w:rsidR="000D0175" w:rsidRPr="00B37C80" w:rsidRDefault="000D0175" w:rsidP="000D0175">
            <w:pPr>
              <w:spacing w:line="240" w:lineRule="auto"/>
              <w:jc w:val="both"/>
              <w:rPr>
                <w:rFonts w:ascii="Times New Roman" w:hAnsi="Times New Roman"/>
                <w:color w:val="000000"/>
                <w:spacing w:val="-2"/>
              </w:rPr>
            </w:pPr>
            <w:r>
              <w:rPr>
                <w:rFonts w:ascii="Times New Roman" w:hAnsi="Times New Roman"/>
                <w:color w:val="000000"/>
                <w:spacing w:val="-2"/>
              </w:rPr>
              <w:t>W zakresie Programu Stop Smog, p</w:t>
            </w:r>
            <w:r w:rsidRPr="004D16F0">
              <w:rPr>
                <w:rFonts w:ascii="Times New Roman" w:hAnsi="Times New Roman"/>
                <w:color w:val="000000"/>
                <w:spacing w:val="-2"/>
              </w:rPr>
              <w:t>o roku 2024 dokonana zostanie ocena skuteczności wprowadzonej regulacji opierająca się m. in. o dane dotyczące ilości wymienionych lub zlikwidowanych urządzeń lub systemów grzewczych w jednorodzinnych budynkach mieszkalnych, dokonanych w przedsięwzięciach niskoemisyjnych finansowanych w oparciu o niniejszą ustawę oraz zmniejszenie zapotrzebowania na ciepło grzewcze liczone łącznie dla wszystkich budynków mieszkalnych jednorodzinnych objętych tą ustawą. Jednocześnie będzie prowadzony bieżący monitoring Programu, w wyniki którego nie wyklucza się przeprowadzenia wcześniejszych modyfikacji, czego przykładem jest obecna nowelizacja.</w:t>
            </w:r>
            <w:r w:rsidRPr="00754F01">
              <w:rPr>
                <w:rFonts w:ascii="Times New Roman" w:hAnsi="Times New Roman"/>
              </w:rPr>
              <w:t xml:space="preserve"> </w:t>
            </w:r>
          </w:p>
        </w:tc>
      </w:tr>
      <w:tr w:rsidR="000D0175" w:rsidRPr="008B4FE6" w:rsidTr="00566CBE">
        <w:trPr>
          <w:gridAfter w:val="1"/>
          <w:wAfter w:w="9" w:type="dxa"/>
          <w:trHeight w:val="142"/>
        </w:trPr>
        <w:tc>
          <w:tcPr>
            <w:tcW w:w="10938" w:type="dxa"/>
            <w:gridSpan w:val="16"/>
            <w:shd w:val="clear" w:color="auto" w:fill="99CCFF"/>
          </w:tcPr>
          <w:p w:rsidR="000D0175" w:rsidRPr="008B4FE6" w:rsidRDefault="000D0175" w:rsidP="000D0175">
            <w:pPr>
              <w:numPr>
                <w:ilvl w:val="0"/>
                <w:numId w:val="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0D0175" w:rsidRPr="008B4FE6" w:rsidTr="00566CBE">
        <w:trPr>
          <w:gridAfter w:val="1"/>
          <w:wAfter w:w="9" w:type="dxa"/>
          <w:trHeight w:val="142"/>
        </w:trPr>
        <w:tc>
          <w:tcPr>
            <w:tcW w:w="10938" w:type="dxa"/>
            <w:gridSpan w:val="16"/>
            <w:shd w:val="clear" w:color="auto" w:fill="FFFFFF"/>
          </w:tcPr>
          <w:p w:rsidR="000D0175" w:rsidRPr="003875A4" w:rsidRDefault="000D0175" w:rsidP="000D0175">
            <w:pPr>
              <w:spacing w:line="240" w:lineRule="auto"/>
              <w:jc w:val="both"/>
              <w:rPr>
                <w:rFonts w:ascii="Times New Roman" w:hAnsi="Times New Roman"/>
                <w:i/>
                <w:color w:val="000000"/>
                <w:spacing w:val="-2"/>
                <w:sz w:val="18"/>
                <w:szCs w:val="18"/>
              </w:rPr>
            </w:pPr>
            <w:r>
              <w:rPr>
                <w:rFonts w:ascii="Times New Roman" w:hAnsi="Times New Roman"/>
                <w:i/>
                <w:color w:val="000000"/>
                <w:spacing w:val="-2"/>
                <w:sz w:val="18"/>
                <w:szCs w:val="18"/>
              </w:rPr>
              <w:t xml:space="preserve">1. </w:t>
            </w:r>
            <w:r w:rsidRPr="003875A4">
              <w:rPr>
                <w:rFonts w:ascii="Times New Roman" w:hAnsi="Times New Roman"/>
                <w:i/>
                <w:color w:val="000000"/>
                <w:spacing w:val="-2"/>
                <w:sz w:val="18"/>
                <w:szCs w:val="18"/>
              </w:rPr>
              <w:t>Wyrok z dnia 22 lutego 2018 r. Trybunał Sprawiedliwości Unii Europejskiej w sprawie o sygn. C-336/16.</w:t>
            </w:r>
          </w:p>
          <w:p w:rsidR="000D0175" w:rsidRPr="003875A4" w:rsidRDefault="000D0175" w:rsidP="000D0175">
            <w:pPr>
              <w:spacing w:line="240" w:lineRule="auto"/>
              <w:jc w:val="both"/>
              <w:rPr>
                <w:rFonts w:ascii="Times New Roman" w:hAnsi="Times New Roman"/>
                <w:i/>
                <w:color w:val="000000"/>
                <w:spacing w:val="-2"/>
                <w:sz w:val="18"/>
                <w:szCs w:val="18"/>
              </w:rPr>
            </w:pPr>
            <w:r>
              <w:rPr>
                <w:rFonts w:ascii="Times New Roman" w:hAnsi="Times New Roman"/>
                <w:i/>
                <w:color w:val="000000"/>
                <w:spacing w:val="-2"/>
                <w:sz w:val="18"/>
                <w:szCs w:val="18"/>
              </w:rPr>
              <w:t xml:space="preserve">2. </w:t>
            </w:r>
            <w:r w:rsidRPr="003875A4">
              <w:rPr>
                <w:rFonts w:ascii="Times New Roman" w:hAnsi="Times New Roman"/>
                <w:i/>
                <w:color w:val="000000"/>
                <w:spacing w:val="-2"/>
                <w:sz w:val="18"/>
                <w:szCs w:val="18"/>
              </w:rPr>
              <w:t xml:space="preserve">Raport Najwyższej Izby Kontroli z dnia 27 sierpnia 2018 r. „Ochrona powietrza przed zanieczyszczeniami”. </w:t>
            </w:r>
          </w:p>
          <w:p w:rsidR="000D0175" w:rsidRPr="003875A4" w:rsidRDefault="000D0175" w:rsidP="000D0175">
            <w:pPr>
              <w:spacing w:line="240" w:lineRule="auto"/>
              <w:jc w:val="both"/>
              <w:rPr>
                <w:rFonts w:ascii="Times New Roman" w:hAnsi="Times New Roman"/>
                <w:i/>
                <w:color w:val="000000"/>
                <w:spacing w:val="-2"/>
                <w:sz w:val="18"/>
                <w:szCs w:val="18"/>
              </w:rPr>
            </w:pPr>
            <w:r>
              <w:rPr>
                <w:rFonts w:ascii="Times New Roman" w:hAnsi="Times New Roman"/>
                <w:i/>
                <w:color w:val="000000"/>
                <w:spacing w:val="-2"/>
                <w:sz w:val="18"/>
                <w:szCs w:val="18"/>
              </w:rPr>
              <w:t xml:space="preserve">3. </w:t>
            </w:r>
            <w:r w:rsidRPr="003875A4">
              <w:rPr>
                <w:rFonts w:ascii="Times New Roman" w:hAnsi="Times New Roman"/>
                <w:i/>
                <w:color w:val="000000"/>
                <w:spacing w:val="-2"/>
                <w:sz w:val="18"/>
                <w:szCs w:val="18"/>
              </w:rPr>
              <w:t>Petycja Gmin Metropolii Krakowskiej z dnia 14 maja 2019 r. skierowana do Premiera RP Mateusza Morawieckiego.</w:t>
            </w:r>
          </w:p>
          <w:p w:rsidR="000D0175" w:rsidRPr="003875A4" w:rsidRDefault="000D0175" w:rsidP="000D0175">
            <w:pPr>
              <w:spacing w:line="240" w:lineRule="auto"/>
              <w:jc w:val="both"/>
              <w:rPr>
                <w:rFonts w:ascii="Times New Roman" w:hAnsi="Times New Roman"/>
                <w:i/>
                <w:color w:val="000000"/>
                <w:spacing w:val="-2"/>
                <w:sz w:val="18"/>
                <w:szCs w:val="18"/>
              </w:rPr>
            </w:pPr>
            <w:r>
              <w:rPr>
                <w:rFonts w:ascii="Times New Roman" w:hAnsi="Times New Roman"/>
                <w:i/>
                <w:color w:val="000000"/>
                <w:spacing w:val="-2"/>
                <w:sz w:val="18"/>
                <w:szCs w:val="18"/>
              </w:rPr>
              <w:t xml:space="preserve">4. </w:t>
            </w:r>
            <w:r w:rsidRPr="003875A4">
              <w:rPr>
                <w:rFonts w:ascii="Times New Roman" w:hAnsi="Times New Roman"/>
                <w:i/>
                <w:color w:val="000000"/>
                <w:spacing w:val="-2"/>
                <w:sz w:val="18"/>
                <w:szCs w:val="18"/>
              </w:rPr>
              <w:t>Stanowisko Konwentu Marszałków Województw z dnia 12 lipca 2019 r. w sprawie wprowadzenia regulacji prawnych ustanawiających ogólnopolską bazę danych, w której będą gromadzone informacje o źródłach spalania paliw o mocy cieplnej do 1MW.</w:t>
            </w:r>
          </w:p>
        </w:tc>
      </w:tr>
    </w:tbl>
    <w:p w:rsidR="006176ED" w:rsidRDefault="009D0655" w:rsidP="00A919E1">
      <w:pPr>
        <w:pStyle w:val="Nagwek1"/>
        <w:rPr>
          <w:rFonts w:ascii="Times New Roman" w:hAnsi="Times New Roman"/>
          <w:sz w:val="20"/>
          <w:szCs w:val="20"/>
        </w:rPr>
      </w:pPr>
      <w:r>
        <w:rPr>
          <w:rFonts w:ascii="Times New Roman" w:hAnsi="Times New Roman"/>
          <w:sz w:val="20"/>
          <w:szCs w:val="20"/>
        </w:rPr>
        <w:lastRenderedPageBreak/>
        <w:t xml:space="preserve"> </w:t>
      </w:r>
    </w:p>
    <w:p w:rsidR="00271529" w:rsidRDefault="00271529" w:rsidP="00271529">
      <w:pPr>
        <w:rPr>
          <w:lang w:eastAsia="pl-PL"/>
        </w:rPr>
      </w:pPr>
    </w:p>
    <w:p w:rsidR="00271529" w:rsidRPr="00271529" w:rsidRDefault="00271529" w:rsidP="00271529">
      <w:pPr>
        <w:rPr>
          <w:lang w:eastAsia="pl-PL"/>
        </w:rPr>
      </w:pPr>
    </w:p>
    <w:sectPr w:rsidR="00271529" w:rsidRPr="00271529" w:rsidSect="00725DE7">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02ED" w:rsidRDefault="001902ED" w:rsidP="00044739">
      <w:pPr>
        <w:spacing w:line="240" w:lineRule="auto"/>
      </w:pPr>
      <w:r>
        <w:separator/>
      </w:r>
    </w:p>
  </w:endnote>
  <w:endnote w:type="continuationSeparator" w:id="0">
    <w:p w:rsidR="001902ED" w:rsidRDefault="001902ED" w:rsidP="00044739">
      <w:pPr>
        <w:spacing w:line="240" w:lineRule="auto"/>
      </w:pPr>
      <w:r>
        <w:continuationSeparator/>
      </w:r>
    </w:p>
  </w:endnote>
  <w:endnote w:type="continuationNotice" w:id="1">
    <w:p w:rsidR="001902ED" w:rsidRDefault="001902E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02ED" w:rsidRDefault="001902ED" w:rsidP="00044739">
      <w:pPr>
        <w:spacing w:line="240" w:lineRule="auto"/>
      </w:pPr>
      <w:r>
        <w:separator/>
      </w:r>
    </w:p>
  </w:footnote>
  <w:footnote w:type="continuationSeparator" w:id="0">
    <w:p w:rsidR="001902ED" w:rsidRDefault="001902ED" w:rsidP="00044739">
      <w:pPr>
        <w:spacing w:line="240" w:lineRule="auto"/>
      </w:pPr>
      <w:r>
        <w:continuationSeparator/>
      </w:r>
    </w:p>
  </w:footnote>
  <w:footnote w:type="continuationNotice" w:id="1">
    <w:p w:rsidR="001902ED" w:rsidRDefault="001902ED">
      <w:pPr>
        <w:spacing w:line="240" w:lineRule="auto"/>
      </w:pPr>
    </w:p>
  </w:footnote>
  <w:footnote w:id="2">
    <w:p w:rsidR="00471228" w:rsidRPr="00C12D73" w:rsidRDefault="00471228" w:rsidP="00754F01">
      <w:pPr>
        <w:spacing w:line="240" w:lineRule="auto"/>
        <w:rPr>
          <w:rFonts w:ascii="Times New Roman" w:hAnsi="Times New Roman"/>
          <w:color w:val="000000"/>
          <w:spacing w:val="-2"/>
          <w:sz w:val="21"/>
          <w:szCs w:val="21"/>
        </w:rPr>
      </w:pPr>
      <w:r>
        <w:rPr>
          <w:rStyle w:val="Odwoanieprzypisudolnego"/>
        </w:rPr>
        <w:footnoteRef/>
      </w:r>
      <w:r>
        <w:t xml:space="preserve"> </w:t>
      </w:r>
      <w:r w:rsidRPr="00C12D73">
        <w:rPr>
          <w:rFonts w:ascii="Times New Roman" w:hAnsi="Times New Roman"/>
          <w:color w:val="000000"/>
          <w:spacing w:val="-2"/>
          <w:sz w:val="21"/>
          <w:szCs w:val="21"/>
        </w:rPr>
        <w:t>W skali całego kraju</w:t>
      </w:r>
      <w:r>
        <w:rPr>
          <w:rFonts w:ascii="Times New Roman" w:hAnsi="Times New Roman"/>
          <w:color w:val="000000"/>
          <w:spacing w:val="-2"/>
          <w:sz w:val="21"/>
          <w:szCs w:val="21"/>
        </w:rPr>
        <w:t xml:space="preserve"> (wg szacunków Instytutu Badań Strukturalnych)</w:t>
      </w:r>
      <w:r w:rsidRPr="00C12D73">
        <w:rPr>
          <w:rFonts w:ascii="Times New Roman" w:hAnsi="Times New Roman"/>
          <w:color w:val="000000"/>
          <w:spacing w:val="-2"/>
          <w:sz w:val="21"/>
          <w:szCs w:val="21"/>
        </w:rPr>
        <w:t xml:space="preserve"> funkcjonuje </w:t>
      </w:r>
      <w:r w:rsidRPr="00C12D73">
        <w:rPr>
          <w:rFonts w:ascii="Times New Roman" w:hAnsi="Times New Roman"/>
          <w:b/>
          <w:color w:val="000000"/>
          <w:spacing w:val="-2"/>
          <w:sz w:val="21"/>
          <w:szCs w:val="21"/>
        </w:rPr>
        <w:t>853 240 GDJ, w których mieszka 3,47 mln</w:t>
      </w:r>
      <w:r w:rsidRPr="00C12D73">
        <w:rPr>
          <w:rFonts w:ascii="Times New Roman" w:hAnsi="Times New Roman"/>
          <w:color w:val="000000"/>
          <w:spacing w:val="-2"/>
          <w:sz w:val="21"/>
          <w:szCs w:val="21"/>
        </w:rPr>
        <w:t xml:space="preserve"> osób dotkniętych zjawiskiem ubóstwa energetycznego.</w:t>
      </w:r>
    </w:p>
    <w:p w:rsidR="00471228" w:rsidRDefault="00471228">
      <w:pPr>
        <w:pStyle w:val="Tekstprzypisudolneg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E4F79"/>
    <w:multiLevelType w:val="hybridMultilevel"/>
    <w:tmpl w:val="5E823C9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5C10C1"/>
    <w:multiLevelType w:val="hybridMultilevel"/>
    <w:tmpl w:val="E6A2501C"/>
    <w:lvl w:ilvl="0" w:tplc="0415000D">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CC93931"/>
    <w:multiLevelType w:val="hybridMultilevel"/>
    <w:tmpl w:val="935C99B0"/>
    <w:lvl w:ilvl="0" w:tplc="EA80DCB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9E2B58"/>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292349"/>
    <w:multiLevelType w:val="hybridMultilevel"/>
    <w:tmpl w:val="F1FC0650"/>
    <w:lvl w:ilvl="0" w:tplc="0415000F">
      <w:start w:val="1"/>
      <w:numFmt w:val="decimal"/>
      <w:lvlText w:val="%1."/>
      <w:lvlJc w:val="left"/>
      <w:pPr>
        <w:tabs>
          <w:tab w:val="num" w:pos="1047"/>
        </w:tabs>
        <w:ind w:left="1047" w:hanging="360"/>
      </w:pPr>
    </w:lvl>
    <w:lvl w:ilvl="1" w:tplc="2610BC42">
      <w:start w:val="1"/>
      <w:numFmt w:val="bullet"/>
      <w:lvlText w:val=""/>
      <w:lvlJc w:val="left"/>
      <w:pPr>
        <w:tabs>
          <w:tab w:val="num" w:pos="1767"/>
        </w:tabs>
        <w:ind w:left="1767" w:hanging="360"/>
      </w:pPr>
      <w:rPr>
        <w:rFonts w:ascii="Symbol" w:hAnsi="Symbol" w:hint="default"/>
      </w:r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5" w15:restartNumberingAfterBreak="0">
    <w:nsid w:val="16BD7536"/>
    <w:multiLevelType w:val="hybridMultilevel"/>
    <w:tmpl w:val="559EE046"/>
    <w:lvl w:ilvl="0" w:tplc="8918EE54">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4E2885"/>
    <w:multiLevelType w:val="hybridMultilevel"/>
    <w:tmpl w:val="70F613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A23D91"/>
    <w:multiLevelType w:val="hybridMultilevel"/>
    <w:tmpl w:val="29A04C7E"/>
    <w:lvl w:ilvl="0" w:tplc="A31018B0">
      <w:start w:val="1"/>
      <w:numFmt w:val="decimal"/>
      <w:lvlText w:val="%1."/>
      <w:lvlJc w:val="left"/>
      <w:pPr>
        <w:tabs>
          <w:tab w:val="num" w:pos="357"/>
        </w:tabs>
      </w:pPr>
      <w:rPr>
        <w:rFonts w:cs="Times New Roman" w:hint="default"/>
      </w:rPr>
    </w:lvl>
    <w:lvl w:ilvl="1" w:tplc="4D263FF8">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EE2A02"/>
    <w:multiLevelType w:val="multilevel"/>
    <w:tmpl w:val="3EE2E83E"/>
    <w:lvl w:ilvl="0">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01A4405"/>
    <w:multiLevelType w:val="hybridMultilevel"/>
    <w:tmpl w:val="88F6C82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CD007E"/>
    <w:multiLevelType w:val="hybridMultilevel"/>
    <w:tmpl w:val="FC0C11C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22DF723B"/>
    <w:multiLevelType w:val="multilevel"/>
    <w:tmpl w:val="42ECDCCE"/>
    <w:lvl w:ilvl="0">
      <w:start w:val="1"/>
      <w:numFmt w:val="decimal"/>
      <w:lvlText w:val="%1."/>
      <w:lvlJc w:val="left"/>
      <w:pPr>
        <w:tabs>
          <w:tab w:val="num" w:pos="1047"/>
        </w:tabs>
        <w:ind w:left="1047" w:hanging="360"/>
      </w:pPr>
    </w:lvl>
    <w:lvl w:ilvl="1">
      <w:start w:val="1"/>
      <w:numFmt w:val="decimal"/>
      <w:lvlText w:val="%2."/>
      <w:lvlJc w:val="left"/>
      <w:pPr>
        <w:tabs>
          <w:tab w:val="num" w:pos="1767"/>
        </w:tabs>
        <w:ind w:left="1767" w:hanging="360"/>
      </w:pPr>
    </w:lvl>
    <w:lvl w:ilvl="2">
      <w:start w:val="1"/>
      <w:numFmt w:val="decimal"/>
      <w:lvlText w:val="%3."/>
      <w:lvlJc w:val="left"/>
      <w:pPr>
        <w:tabs>
          <w:tab w:val="num" w:pos="2487"/>
        </w:tabs>
        <w:ind w:left="2487" w:hanging="360"/>
      </w:pPr>
    </w:lvl>
    <w:lvl w:ilvl="3">
      <w:start w:val="1"/>
      <w:numFmt w:val="decimal"/>
      <w:lvlText w:val="%4."/>
      <w:lvlJc w:val="left"/>
      <w:pPr>
        <w:tabs>
          <w:tab w:val="num" w:pos="3207"/>
        </w:tabs>
        <w:ind w:left="3207" w:hanging="360"/>
      </w:pPr>
    </w:lvl>
    <w:lvl w:ilvl="4">
      <w:start w:val="1"/>
      <w:numFmt w:val="decimal"/>
      <w:lvlText w:val="%5."/>
      <w:lvlJc w:val="left"/>
      <w:pPr>
        <w:tabs>
          <w:tab w:val="num" w:pos="3927"/>
        </w:tabs>
        <w:ind w:left="3927" w:hanging="360"/>
      </w:pPr>
    </w:lvl>
    <w:lvl w:ilvl="5">
      <w:start w:val="1"/>
      <w:numFmt w:val="decimal"/>
      <w:lvlText w:val="%6."/>
      <w:lvlJc w:val="left"/>
      <w:pPr>
        <w:tabs>
          <w:tab w:val="num" w:pos="4647"/>
        </w:tabs>
        <w:ind w:left="4647" w:hanging="360"/>
      </w:pPr>
    </w:lvl>
    <w:lvl w:ilvl="6">
      <w:start w:val="1"/>
      <w:numFmt w:val="decimal"/>
      <w:lvlText w:val="%7."/>
      <w:lvlJc w:val="left"/>
      <w:pPr>
        <w:tabs>
          <w:tab w:val="num" w:pos="5367"/>
        </w:tabs>
        <w:ind w:left="5367" w:hanging="360"/>
      </w:pPr>
    </w:lvl>
    <w:lvl w:ilvl="7">
      <w:start w:val="1"/>
      <w:numFmt w:val="decimal"/>
      <w:lvlText w:val="%8."/>
      <w:lvlJc w:val="left"/>
      <w:pPr>
        <w:tabs>
          <w:tab w:val="num" w:pos="6087"/>
        </w:tabs>
        <w:ind w:left="6087" w:hanging="360"/>
      </w:pPr>
    </w:lvl>
    <w:lvl w:ilvl="8">
      <w:start w:val="1"/>
      <w:numFmt w:val="decimal"/>
      <w:lvlText w:val="%9."/>
      <w:lvlJc w:val="left"/>
      <w:pPr>
        <w:tabs>
          <w:tab w:val="num" w:pos="6807"/>
        </w:tabs>
        <w:ind w:left="6807" w:hanging="360"/>
      </w:pPr>
    </w:lvl>
  </w:abstractNum>
  <w:abstractNum w:abstractNumId="12" w15:restartNumberingAfterBreak="0">
    <w:nsid w:val="279D6C8D"/>
    <w:multiLevelType w:val="hybridMultilevel"/>
    <w:tmpl w:val="DD34BEF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176141"/>
    <w:multiLevelType w:val="multilevel"/>
    <w:tmpl w:val="CB56556A"/>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D554A3F"/>
    <w:multiLevelType w:val="hybridMultilevel"/>
    <w:tmpl w:val="76286C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2A41E7"/>
    <w:multiLevelType w:val="hybridMultilevel"/>
    <w:tmpl w:val="4BA42AC6"/>
    <w:lvl w:ilvl="0" w:tplc="680E46FE">
      <w:start w:val="1"/>
      <w:numFmt w:val="decimal"/>
      <w:lvlText w:val="%1."/>
      <w:lvlJc w:val="left"/>
      <w:pPr>
        <w:tabs>
          <w:tab w:val="num" w:pos="360"/>
        </w:tabs>
        <w:ind w:left="360" w:hanging="360"/>
      </w:pPr>
      <w:rPr>
        <w:rFonts w:hint="default"/>
        <w:b/>
      </w:rPr>
    </w:lvl>
    <w:lvl w:ilvl="1" w:tplc="79F073B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8B1EDD"/>
    <w:multiLevelType w:val="hybridMultilevel"/>
    <w:tmpl w:val="95FA285E"/>
    <w:lvl w:ilvl="0" w:tplc="0415000F">
      <w:start w:val="1"/>
      <w:numFmt w:val="decimal"/>
      <w:lvlText w:val="%1."/>
      <w:lvlJc w:val="left"/>
      <w:pPr>
        <w:tabs>
          <w:tab w:val="num" w:pos="1047"/>
        </w:tabs>
        <w:ind w:left="1047" w:hanging="360"/>
      </w:pPr>
    </w:lvl>
    <w:lvl w:ilvl="1" w:tplc="04150019" w:tentative="1">
      <w:start w:val="1"/>
      <w:numFmt w:val="lowerLetter"/>
      <w:lvlText w:val="%2."/>
      <w:lvlJc w:val="left"/>
      <w:pPr>
        <w:tabs>
          <w:tab w:val="num" w:pos="1767"/>
        </w:tabs>
        <w:ind w:left="1767" w:hanging="360"/>
      </w:pPr>
    </w:lvl>
    <w:lvl w:ilvl="2" w:tplc="0415001B" w:tentative="1">
      <w:start w:val="1"/>
      <w:numFmt w:val="lowerRoman"/>
      <w:lvlText w:val="%3."/>
      <w:lvlJc w:val="right"/>
      <w:pPr>
        <w:tabs>
          <w:tab w:val="num" w:pos="2487"/>
        </w:tabs>
        <w:ind w:left="2487" w:hanging="180"/>
      </w:pPr>
    </w:lvl>
    <w:lvl w:ilvl="3" w:tplc="0415000F" w:tentative="1">
      <w:start w:val="1"/>
      <w:numFmt w:val="decimal"/>
      <w:lvlText w:val="%4."/>
      <w:lvlJc w:val="left"/>
      <w:pPr>
        <w:tabs>
          <w:tab w:val="num" w:pos="3207"/>
        </w:tabs>
        <w:ind w:left="3207" w:hanging="360"/>
      </w:pPr>
    </w:lvl>
    <w:lvl w:ilvl="4" w:tplc="04150019" w:tentative="1">
      <w:start w:val="1"/>
      <w:numFmt w:val="lowerLetter"/>
      <w:lvlText w:val="%5."/>
      <w:lvlJc w:val="left"/>
      <w:pPr>
        <w:tabs>
          <w:tab w:val="num" w:pos="3927"/>
        </w:tabs>
        <w:ind w:left="3927" w:hanging="360"/>
      </w:pPr>
    </w:lvl>
    <w:lvl w:ilvl="5" w:tplc="0415001B" w:tentative="1">
      <w:start w:val="1"/>
      <w:numFmt w:val="lowerRoman"/>
      <w:lvlText w:val="%6."/>
      <w:lvlJc w:val="right"/>
      <w:pPr>
        <w:tabs>
          <w:tab w:val="num" w:pos="4647"/>
        </w:tabs>
        <w:ind w:left="4647" w:hanging="180"/>
      </w:pPr>
    </w:lvl>
    <w:lvl w:ilvl="6" w:tplc="0415000F" w:tentative="1">
      <w:start w:val="1"/>
      <w:numFmt w:val="decimal"/>
      <w:lvlText w:val="%7."/>
      <w:lvlJc w:val="left"/>
      <w:pPr>
        <w:tabs>
          <w:tab w:val="num" w:pos="5367"/>
        </w:tabs>
        <w:ind w:left="5367" w:hanging="360"/>
      </w:pPr>
    </w:lvl>
    <w:lvl w:ilvl="7" w:tplc="04150019" w:tentative="1">
      <w:start w:val="1"/>
      <w:numFmt w:val="lowerLetter"/>
      <w:lvlText w:val="%8."/>
      <w:lvlJc w:val="left"/>
      <w:pPr>
        <w:tabs>
          <w:tab w:val="num" w:pos="6087"/>
        </w:tabs>
        <w:ind w:left="6087" w:hanging="360"/>
      </w:pPr>
    </w:lvl>
    <w:lvl w:ilvl="8" w:tplc="0415001B" w:tentative="1">
      <w:start w:val="1"/>
      <w:numFmt w:val="lowerRoman"/>
      <w:lvlText w:val="%9."/>
      <w:lvlJc w:val="right"/>
      <w:pPr>
        <w:tabs>
          <w:tab w:val="num" w:pos="6807"/>
        </w:tabs>
        <w:ind w:left="6807" w:hanging="180"/>
      </w:pPr>
    </w:lvl>
  </w:abstractNum>
  <w:abstractNum w:abstractNumId="17" w15:restartNumberingAfterBreak="0">
    <w:nsid w:val="3B65511A"/>
    <w:multiLevelType w:val="hybridMultilevel"/>
    <w:tmpl w:val="4CAA9CB6"/>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18" w15:restartNumberingAfterBreak="0">
    <w:nsid w:val="3EA44CC7"/>
    <w:multiLevelType w:val="hybridMultilevel"/>
    <w:tmpl w:val="6A12C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666694B"/>
    <w:multiLevelType w:val="hybridMultilevel"/>
    <w:tmpl w:val="BFCEF6F2"/>
    <w:lvl w:ilvl="0" w:tplc="BAF6146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6E5730E"/>
    <w:multiLevelType w:val="hybridMultilevel"/>
    <w:tmpl w:val="3C7829FC"/>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7C227A6"/>
    <w:multiLevelType w:val="hybridMultilevel"/>
    <w:tmpl w:val="5BCAE14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8558C2"/>
    <w:multiLevelType w:val="hybridMultilevel"/>
    <w:tmpl w:val="2E3647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BE361A"/>
    <w:multiLevelType w:val="hybridMultilevel"/>
    <w:tmpl w:val="3AE85FAA"/>
    <w:lvl w:ilvl="0" w:tplc="04150011">
      <w:start w:val="1"/>
      <w:numFmt w:val="decimal"/>
      <w:lvlText w:val="%1)"/>
      <w:lvlJc w:val="left"/>
      <w:pPr>
        <w:tabs>
          <w:tab w:val="num" w:pos="1047"/>
        </w:tabs>
        <w:ind w:left="1047" w:hanging="360"/>
      </w:pPr>
    </w:lvl>
    <w:lvl w:ilvl="1" w:tplc="04150019">
      <w:start w:val="1"/>
      <w:numFmt w:val="decimal"/>
      <w:lvlText w:val="%2."/>
      <w:lvlJc w:val="left"/>
      <w:pPr>
        <w:tabs>
          <w:tab w:val="num" w:pos="1767"/>
        </w:tabs>
        <w:ind w:left="1767" w:hanging="360"/>
      </w:pPr>
    </w:lvl>
    <w:lvl w:ilvl="2" w:tplc="0415001B">
      <w:start w:val="1"/>
      <w:numFmt w:val="decimal"/>
      <w:lvlText w:val="%3."/>
      <w:lvlJc w:val="left"/>
      <w:pPr>
        <w:tabs>
          <w:tab w:val="num" w:pos="2487"/>
        </w:tabs>
        <w:ind w:left="2487" w:hanging="360"/>
      </w:pPr>
    </w:lvl>
    <w:lvl w:ilvl="3" w:tplc="0415000F">
      <w:start w:val="1"/>
      <w:numFmt w:val="decimal"/>
      <w:lvlText w:val="%4."/>
      <w:lvlJc w:val="left"/>
      <w:pPr>
        <w:tabs>
          <w:tab w:val="num" w:pos="3207"/>
        </w:tabs>
        <w:ind w:left="3207" w:hanging="360"/>
      </w:pPr>
    </w:lvl>
    <w:lvl w:ilvl="4" w:tplc="04150019">
      <w:start w:val="1"/>
      <w:numFmt w:val="decimal"/>
      <w:lvlText w:val="%5."/>
      <w:lvlJc w:val="left"/>
      <w:pPr>
        <w:tabs>
          <w:tab w:val="num" w:pos="3927"/>
        </w:tabs>
        <w:ind w:left="3927" w:hanging="360"/>
      </w:pPr>
    </w:lvl>
    <w:lvl w:ilvl="5" w:tplc="0415001B">
      <w:start w:val="1"/>
      <w:numFmt w:val="decimal"/>
      <w:lvlText w:val="%6."/>
      <w:lvlJc w:val="left"/>
      <w:pPr>
        <w:tabs>
          <w:tab w:val="num" w:pos="4647"/>
        </w:tabs>
        <w:ind w:left="4647" w:hanging="360"/>
      </w:pPr>
    </w:lvl>
    <w:lvl w:ilvl="6" w:tplc="0415000F">
      <w:start w:val="1"/>
      <w:numFmt w:val="decimal"/>
      <w:lvlText w:val="%7."/>
      <w:lvlJc w:val="left"/>
      <w:pPr>
        <w:tabs>
          <w:tab w:val="num" w:pos="5367"/>
        </w:tabs>
        <w:ind w:left="5367" w:hanging="360"/>
      </w:pPr>
    </w:lvl>
    <w:lvl w:ilvl="7" w:tplc="04150019">
      <w:start w:val="1"/>
      <w:numFmt w:val="decimal"/>
      <w:lvlText w:val="%8."/>
      <w:lvlJc w:val="left"/>
      <w:pPr>
        <w:tabs>
          <w:tab w:val="num" w:pos="6087"/>
        </w:tabs>
        <w:ind w:left="6087" w:hanging="360"/>
      </w:pPr>
    </w:lvl>
    <w:lvl w:ilvl="8" w:tplc="0415001B">
      <w:start w:val="1"/>
      <w:numFmt w:val="decimal"/>
      <w:lvlText w:val="%9."/>
      <w:lvlJc w:val="left"/>
      <w:pPr>
        <w:tabs>
          <w:tab w:val="num" w:pos="6807"/>
        </w:tabs>
        <w:ind w:left="6807" w:hanging="360"/>
      </w:pPr>
    </w:lvl>
  </w:abstractNum>
  <w:abstractNum w:abstractNumId="24" w15:restartNumberingAfterBreak="0">
    <w:nsid w:val="51461DEA"/>
    <w:multiLevelType w:val="hybridMultilevel"/>
    <w:tmpl w:val="80049DC2"/>
    <w:lvl w:ilvl="0" w:tplc="C79E83AC">
      <w:start w:val="1"/>
      <w:numFmt w:val="bullet"/>
      <w:lvlText w:val=""/>
      <w:lvlJc w:val="left"/>
      <w:pPr>
        <w:tabs>
          <w:tab w:val="num" w:pos="1077"/>
        </w:tabs>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cs="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cs="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cs="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25" w15:restartNumberingAfterBreak="0">
    <w:nsid w:val="542B39BE"/>
    <w:multiLevelType w:val="multilevel"/>
    <w:tmpl w:val="CB56556A"/>
    <w:lvl w:ilvl="0">
      <w:start w:val="1"/>
      <w:numFmt w:val="upperRoman"/>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none"/>
      <w:lvlText w:val="a)"/>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6D16055"/>
    <w:multiLevelType w:val="hybridMultilevel"/>
    <w:tmpl w:val="857C4F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236D38"/>
    <w:multiLevelType w:val="multilevel"/>
    <w:tmpl w:val="743A6EF4"/>
    <w:lvl w:ilvl="0">
      <w:start w:val="1"/>
      <w:numFmt w:val="decimal"/>
      <w:lvlText w:val="%1"/>
      <w:lvlJc w:val="left"/>
      <w:pPr>
        <w:ind w:left="435" w:hanging="435"/>
      </w:pPr>
      <w:rPr>
        <w:rFonts w:hint="default"/>
      </w:rPr>
    </w:lvl>
    <w:lvl w:ilvl="1">
      <w:start w:val="20"/>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9863083"/>
    <w:multiLevelType w:val="hybridMultilevel"/>
    <w:tmpl w:val="B28ADCD0"/>
    <w:lvl w:ilvl="0" w:tplc="69624922">
      <w:start w:val="1"/>
      <w:numFmt w:val="bullet"/>
      <w:lvlText w:val=""/>
      <w:lvlJc w:val="left"/>
      <w:pPr>
        <w:tabs>
          <w:tab w:val="num" w:pos="780"/>
        </w:tabs>
        <w:ind w:left="780" w:hanging="360"/>
      </w:pPr>
      <w:rPr>
        <w:rFonts w:ascii="Symbol" w:hAnsi="Symbo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5A8311CF"/>
    <w:multiLevelType w:val="hybridMultilevel"/>
    <w:tmpl w:val="E1E0E416"/>
    <w:lvl w:ilvl="0" w:tplc="65606C50">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DBB20EB"/>
    <w:multiLevelType w:val="hybridMultilevel"/>
    <w:tmpl w:val="10E6B354"/>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0417BAC"/>
    <w:multiLevelType w:val="hybridMultilevel"/>
    <w:tmpl w:val="7ACED012"/>
    <w:lvl w:ilvl="0" w:tplc="6962492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60"/>
        </w:tabs>
        <w:ind w:left="1860" w:hanging="360"/>
      </w:pPr>
      <w:rPr>
        <w:rFonts w:ascii="Courier New" w:hAnsi="Courier New" w:cs="Courier New" w:hint="default"/>
      </w:rPr>
    </w:lvl>
    <w:lvl w:ilvl="2" w:tplc="04150005" w:tentative="1">
      <w:start w:val="1"/>
      <w:numFmt w:val="bullet"/>
      <w:lvlText w:val=""/>
      <w:lvlJc w:val="left"/>
      <w:pPr>
        <w:tabs>
          <w:tab w:val="num" w:pos="2580"/>
        </w:tabs>
        <w:ind w:left="2580" w:hanging="360"/>
      </w:pPr>
      <w:rPr>
        <w:rFonts w:ascii="Wingdings" w:hAnsi="Wingdings" w:hint="default"/>
      </w:rPr>
    </w:lvl>
    <w:lvl w:ilvl="3" w:tplc="04150001" w:tentative="1">
      <w:start w:val="1"/>
      <w:numFmt w:val="bullet"/>
      <w:lvlText w:val=""/>
      <w:lvlJc w:val="left"/>
      <w:pPr>
        <w:tabs>
          <w:tab w:val="num" w:pos="3300"/>
        </w:tabs>
        <w:ind w:left="3300" w:hanging="360"/>
      </w:pPr>
      <w:rPr>
        <w:rFonts w:ascii="Symbol" w:hAnsi="Symbol" w:hint="default"/>
      </w:rPr>
    </w:lvl>
    <w:lvl w:ilvl="4" w:tplc="04150003" w:tentative="1">
      <w:start w:val="1"/>
      <w:numFmt w:val="bullet"/>
      <w:lvlText w:val="o"/>
      <w:lvlJc w:val="left"/>
      <w:pPr>
        <w:tabs>
          <w:tab w:val="num" w:pos="4020"/>
        </w:tabs>
        <w:ind w:left="4020" w:hanging="360"/>
      </w:pPr>
      <w:rPr>
        <w:rFonts w:ascii="Courier New" w:hAnsi="Courier New" w:cs="Courier New" w:hint="default"/>
      </w:rPr>
    </w:lvl>
    <w:lvl w:ilvl="5" w:tplc="04150005" w:tentative="1">
      <w:start w:val="1"/>
      <w:numFmt w:val="bullet"/>
      <w:lvlText w:val=""/>
      <w:lvlJc w:val="left"/>
      <w:pPr>
        <w:tabs>
          <w:tab w:val="num" w:pos="4740"/>
        </w:tabs>
        <w:ind w:left="4740" w:hanging="360"/>
      </w:pPr>
      <w:rPr>
        <w:rFonts w:ascii="Wingdings" w:hAnsi="Wingdings" w:hint="default"/>
      </w:rPr>
    </w:lvl>
    <w:lvl w:ilvl="6" w:tplc="04150001" w:tentative="1">
      <w:start w:val="1"/>
      <w:numFmt w:val="bullet"/>
      <w:lvlText w:val=""/>
      <w:lvlJc w:val="left"/>
      <w:pPr>
        <w:tabs>
          <w:tab w:val="num" w:pos="5460"/>
        </w:tabs>
        <w:ind w:left="5460" w:hanging="360"/>
      </w:pPr>
      <w:rPr>
        <w:rFonts w:ascii="Symbol" w:hAnsi="Symbol" w:hint="default"/>
      </w:rPr>
    </w:lvl>
    <w:lvl w:ilvl="7" w:tplc="04150003" w:tentative="1">
      <w:start w:val="1"/>
      <w:numFmt w:val="bullet"/>
      <w:lvlText w:val="o"/>
      <w:lvlJc w:val="left"/>
      <w:pPr>
        <w:tabs>
          <w:tab w:val="num" w:pos="6180"/>
        </w:tabs>
        <w:ind w:left="6180" w:hanging="360"/>
      </w:pPr>
      <w:rPr>
        <w:rFonts w:ascii="Courier New" w:hAnsi="Courier New" w:cs="Courier New" w:hint="default"/>
      </w:rPr>
    </w:lvl>
    <w:lvl w:ilvl="8" w:tplc="04150005" w:tentative="1">
      <w:start w:val="1"/>
      <w:numFmt w:val="bullet"/>
      <w:lvlText w:val=""/>
      <w:lvlJc w:val="left"/>
      <w:pPr>
        <w:tabs>
          <w:tab w:val="num" w:pos="6900"/>
        </w:tabs>
        <w:ind w:left="6900" w:hanging="360"/>
      </w:pPr>
      <w:rPr>
        <w:rFonts w:ascii="Wingdings" w:hAnsi="Wingdings" w:hint="default"/>
      </w:rPr>
    </w:lvl>
  </w:abstractNum>
  <w:abstractNum w:abstractNumId="32" w15:restartNumberingAfterBreak="0">
    <w:nsid w:val="61DD2B62"/>
    <w:multiLevelType w:val="hybridMultilevel"/>
    <w:tmpl w:val="9CBC53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C56F97"/>
    <w:multiLevelType w:val="hybridMultilevel"/>
    <w:tmpl w:val="07FCC908"/>
    <w:lvl w:ilvl="0" w:tplc="04150017">
      <w:start w:val="1"/>
      <w:numFmt w:val="lowerLetter"/>
      <w:lvlText w:val="%1)"/>
      <w:lvlJc w:val="left"/>
      <w:pPr>
        <w:ind w:left="780" w:hanging="360"/>
      </w:pPr>
    </w:lvl>
    <w:lvl w:ilvl="1" w:tplc="04150019" w:tentative="1">
      <w:start w:val="1"/>
      <w:numFmt w:val="lowerLetter"/>
      <w:lvlText w:val="%2."/>
      <w:lvlJc w:val="left"/>
      <w:pPr>
        <w:tabs>
          <w:tab w:val="num" w:pos="1860"/>
        </w:tabs>
        <w:ind w:left="1860" w:hanging="360"/>
      </w:pPr>
    </w:lvl>
    <w:lvl w:ilvl="2" w:tplc="0415001B" w:tentative="1">
      <w:start w:val="1"/>
      <w:numFmt w:val="lowerRoman"/>
      <w:lvlText w:val="%3."/>
      <w:lvlJc w:val="right"/>
      <w:pPr>
        <w:tabs>
          <w:tab w:val="num" w:pos="2580"/>
        </w:tabs>
        <w:ind w:left="2580" w:hanging="180"/>
      </w:pPr>
    </w:lvl>
    <w:lvl w:ilvl="3" w:tplc="0415000F" w:tentative="1">
      <w:start w:val="1"/>
      <w:numFmt w:val="decimal"/>
      <w:lvlText w:val="%4."/>
      <w:lvlJc w:val="left"/>
      <w:pPr>
        <w:tabs>
          <w:tab w:val="num" w:pos="3300"/>
        </w:tabs>
        <w:ind w:left="3300" w:hanging="360"/>
      </w:pPr>
    </w:lvl>
    <w:lvl w:ilvl="4" w:tplc="04150019" w:tentative="1">
      <w:start w:val="1"/>
      <w:numFmt w:val="lowerLetter"/>
      <w:lvlText w:val="%5."/>
      <w:lvlJc w:val="left"/>
      <w:pPr>
        <w:tabs>
          <w:tab w:val="num" w:pos="4020"/>
        </w:tabs>
        <w:ind w:left="4020" w:hanging="360"/>
      </w:pPr>
    </w:lvl>
    <w:lvl w:ilvl="5" w:tplc="0415001B" w:tentative="1">
      <w:start w:val="1"/>
      <w:numFmt w:val="lowerRoman"/>
      <w:lvlText w:val="%6."/>
      <w:lvlJc w:val="right"/>
      <w:pPr>
        <w:tabs>
          <w:tab w:val="num" w:pos="4740"/>
        </w:tabs>
        <w:ind w:left="4740" w:hanging="180"/>
      </w:pPr>
    </w:lvl>
    <w:lvl w:ilvl="6" w:tplc="0415000F" w:tentative="1">
      <w:start w:val="1"/>
      <w:numFmt w:val="decimal"/>
      <w:lvlText w:val="%7."/>
      <w:lvlJc w:val="left"/>
      <w:pPr>
        <w:tabs>
          <w:tab w:val="num" w:pos="5460"/>
        </w:tabs>
        <w:ind w:left="5460" w:hanging="360"/>
      </w:pPr>
    </w:lvl>
    <w:lvl w:ilvl="7" w:tplc="04150019" w:tentative="1">
      <w:start w:val="1"/>
      <w:numFmt w:val="lowerLetter"/>
      <w:lvlText w:val="%8."/>
      <w:lvlJc w:val="left"/>
      <w:pPr>
        <w:tabs>
          <w:tab w:val="num" w:pos="6180"/>
        </w:tabs>
        <w:ind w:left="6180" w:hanging="360"/>
      </w:pPr>
    </w:lvl>
    <w:lvl w:ilvl="8" w:tplc="0415001B" w:tentative="1">
      <w:start w:val="1"/>
      <w:numFmt w:val="lowerRoman"/>
      <w:lvlText w:val="%9."/>
      <w:lvlJc w:val="right"/>
      <w:pPr>
        <w:tabs>
          <w:tab w:val="num" w:pos="6900"/>
        </w:tabs>
        <w:ind w:left="6900" w:hanging="180"/>
      </w:pPr>
    </w:lvl>
  </w:abstractNum>
  <w:abstractNum w:abstractNumId="34" w15:restartNumberingAfterBreak="0">
    <w:nsid w:val="64F01883"/>
    <w:multiLevelType w:val="hybridMultilevel"/>
    <w:tmpl w:val="2D36EB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FD0546"/>
    <w:multiLevelType w:val="hybridMultilevel"/>
    <w:tmpl w:val="EFCC1B3A"/>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747D2514"/>
    <w:multiLevelType w:val="hybridMultilevel"/>
    <w:tmpl w:val="7BF285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164B50"/>
    <w:multiLevelType w:val="hybridMultilevel"/>
    <w:tmpl w:val="16C045B8"/>
    <w:lvl w:ilvl="0" w:tplc="FF5892AC">
      <w:start w:val="1"/>
      <w:numFmt w:val="bullet"/>
      <w:lvlText w:val="-"/>
      <w:lvlJc w:val="left"/>
      <w:pPr>
        <w:tabs>
          <w:tab w:val="num" w:pos="1080"/>
        </w:tabs>
        <w:ind w:left="1080" w:hanging="360"/>
      </w:pPr>
      <w:rPr>
        <w:rFonts w:ascii="Times New Roman" w:hAnsi="Times New Roman" w:cs="Times New Roman"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num w:numId="1">
    <w:abstractNumId w:val="7"/>
  </w:num>
  <w:num w:numId="2">
    <w:abstractNumId w:val="0"/>
  </w:num>
  <w:num w:numId="3">
    <w:abstractNumId w:val="15"/>
  </w:num>
  <w:num w:numId="4">
    <w:abstractNumId w:val="32"/>
  </w:num>
  <w:num w:numId="5">
    <w:abstractNumId w:val="3"/>
  </w:num>
  <w:num w:numId="6">
    <w:abstractNumId w:val="12"/>
  </w:num>
  <w:num w:numId="7">
    <w:abstractNumId w:val="20"/>
  </w:num>
  <w:num w:numId="8">
    <w:abstractNumId w:val="8"/>
  </w:num>
  <w:num w:numId="9">
    <w:abstractNumId w:val="24"/>
  </w:num>
  <w:num w:numId="10">
    <w:abstractNumId w:val="17"/>
  </w:num>
  <w:num w:numId="11">
    <w:abstractNumId w:val="23"/>
  </w:num>
  <w:num w:numId="12">
    <w:abstractNumId w:val="4"/>
  </w:num>
  <w:num w:numId="13">
    <w:abstractNumId w:val="16"/>
  </w:num>
  <w:num w:numId="14">
    <w:abstractNumId w:val="33"/>
  </w:num>
  <w:num w:numId="15">
    <w:abstractNumId w:val="28"/>
  </w:num>
  <w:num w:numId="16">
    <w:abstractNumId w:val="31"/>
  </w:num>
  <w:num w:numId="17">
    <w:abstractNumId w:val="10"/>
  </w:num>
  <w:num w:numId="18">
    <w:abstractNumId w:val="35"/>
  </w:num>
  <w:num w:numId="19">
    <w:abstractNumId w:val="37"/>
  </w:num>
  <w:num w:numId="20">
    <w:abstractNumId w:val="30"/>
  </w:num>
  <w:num w:numId="21">
    <w:abstractNumId w:val="11"/>
  </w:num>
  <w:num w:numId="22">
    <w:abstractNumId w:val="36"/>
  </w:num>
  <w:num w:numId="23">
    <w:abstractNumId w:val="22"/>
  </w:num>
  <w:num w:numId="24">
    <w:abstractNumId w:val="21"/>
  </w:num>
  <w:num w:numId="25">
    <w:abstractNumId w:val="14"/>
  </w:num>
  <w:num w:numId="26">
    <w:abstractNumId w:val="29"/>
  </w:num>
  <w:num w:numId="27">
    <w:abstractNumId w:val="19"/>
  </w:num>
  <w:num w:numId="28">
    <w:abstractNumId w:val="25"/>
  </w:num>
  <w:num w:numId="29">
    <w:abstractNumId w:val="2"/>
  </w:num>
  <w:num w:numId="30">
    <w:abstractNumId w:val="18"/>
  </w:num>
  <w:num w:numId="31">
    <w:abstractNumId w:val="9"/>
  </w:num>
  <w:num w:numId="32">
    <w:abstractNumId w:val="1"/>
  </w:num>
  <w:num w:numId="33">
    <w:abstractNumId w:val="5"/>
  </w:num>
  <w:num w:numId="34">
    <w:abstractNumId w:val="6"/>
  </w:num>
  <w:num w:numId="35">
    <w:abstractNumId w:val="34"/>
  </w:num>
  <w:num w:numId="36">
    <w:abstractNumId w:val="13"/>
  </w:num>
  <w:num w:numId="37">
    <w:abstractNumId w:val="26"/>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cumentProtection w:edit="forms" w:formatting="1"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6CB"/>
    <w:rsid w:val="000008E5"/>
    <w:rsid w:val="000015EE"/>
    <w:rsid w:val="000022D5"/>
    <w:rsid w:val="00004C6A"/>
    <w:rsid w:val="00012D11"/>
    <w:rsid w:val="00013EB5"/>
    <w:rsid w:val="00021CE9"/>
    <w:rsid w:val="0002304F"/>
    <w:rsid w:val="00023836"/>
    <w:rsid w:val="000244E6"/>
    <w:rsid w:val="0002666E"/>
    <w:rsid w:val="000356A9"/>
    <w:rsid w:val="00044138"/>
    <w:rsid w:val="00044739"/>
    <w:rsid w:val="00050121"/>
    <w:rsid w:val="00051637"/>
    <w:rsid w:val="00056681"/>
    <w:rsid w:val="000602E4"/>
    <w:rsid w:val="000648A7"/>
    <w:rsid w:val="0006618B"/>
    <w:rsid w:val="000670C0"/>
    <w:rsid w:val="000707B1"/>
    <w:rsid w:val="00071B99"/>
    <w:rsid w:val="000756E5"/>
    <w:rsid w:val="000760BA"/>
    <w:rsid w:val="00076ACD"/>
    <w:rsid w:val="00076EA8"/>
    <w:rsid w:val="0007704E"/>
    <w:rsid w:val="00080EC8"/>
    <w:rsid w:val="000941D2"/>
    <w:rsid w:val="000944AC"/>
    <w:rsid w:val="00094CB9"/>
    <w:rsid w:val="000956B2"/>
    <w:rsid w:val="0009694D"/>
    <w:rsid w:val="000969E7"/>
    <w:rsid w:val="000A23DE"/>
    <w:rsid w:val="000A4020"/>
    <w:rsid w:val="000A5724"/>
    <w:rsid w:val="000B49DC"/>
    <w:rsid w:val="000B54FB"/>
    <w:rsid w:val="000B78D6"/>
    <w:rsid w:val="000C1C23"/>
    <w:rsid w:val="000C29B0"/>
    <w:rsid w:val="000C6696"/>
    <w:rsid w:val="000C76FC"/>
    <w:rsid w:val="000D0175"/>
    <w:rsid w:val="000D0A83"/>
    <w:rsid w:val="000D38FC"/>
    <w:rsid w:val="000D42CA"/>
    <w:rsid w:val="000D4D90"/>
    <w:rsid w:val="000E0938"/>
    <w:rsid w:val="000E2D10"/>
    <w:rsid w:val="000E32A9"/>
    <w:rsid w:val="000E50D3"/>
    <w:rsid w:val="000F3204"/>
    <w:rsid w:val="00100D4B"/>
    <w:rsid w:val="0010548B"/>
    <w:rsid w:val="00105922"/>
    <w:rsid w:val="001072D1"/>
    <w:rsid w:val="00111ADE"/>
    <w:rsid w:val="00114719"/>
    <w:rsid w:val="00116A3B"/>
    <w:rsid w:val="00117017"/>
    <w:rsid w:val="00130E8E"/>
    <w:rsid w:val="0013216E"/>
    <w:rsid w:val="0013769B"/>
    <w:rsid w:val="0013799B"/>
    <w:rsid w:val="0014005C"/>
    <w:rsid w:val="001401B5"/>
    <w:rsid w:val="001422B9"/>
    <w:rsid w:val="001445E3"/>
    <w:rsid w:val="0014665F"/>
    <w:rsid w:val="001518CF"/>
    <w:rsid w:val="00153464"/>
    <w:rsid w:val="001541B3"/>
    <w:rsid w:val="00155B15"/>
    <w:rsid w:val="001625BE"/>
    <w:rsid w:val="00162600"/>
    <w:rsid w:val="001643A4"/>
    <w:rsid w:val="001727BB"/>
    <w:rsid w:val="001728EA"/>
    <w:rsid w:val="00180D25"/>
    <w:rsid w:val="00181C20"/>
    <w:rsid w:val="0018318D"/>
    <w:rsid w:val="00183473"/>
    <w:rsid w:val="00183E97"/>
    <w:rsid w:val="0018572C"/>
    <w:rsid w:val="001859EE"/>
    <w:rsid w:val="00187E79"/>
    <w:rsid w:val="00187F0D"/>
    <w:rsid w:val="001902ED"/>
    <w:rsid w:val="00192CC5"/>
    <w:rsid w:val="001956A7"/>
    <w:rsid w:val="001A118A"/>
    <w:rsid w:val="001A24C4"/>
    <w:rsid w:val="001A27F4"/>
    <w:rsid w:val="001A2D95"/>
    <w:rsid w:val="001A5B21"/>
    <w:rsid w:val="001B3460"/>
    <w:rsid w:val="001B4CA1"/>
    <w:rsid w:val="001B67EC"/>
    <w:rsid w:val="001B70E9"/>
    <w:rsid w:val="001B75D8"/>
    <w:rsid w:val="001C1060"/>
    <w:rsid w:val="001C2AC4"/>
    <w:rsid w:val="001C3C63"/>
    <w:rsid w:val="001C4336"/>
    <w:rsid w:val="001C5030"/>
    <w:rsid w:val="001C7683"/>
    <w:rsid w:val="001D323E"/>
    <w:rsid w:val="001D4732"/>
    <w:rsid w:val="001D508D"/>
    <w:rsid w:val="001D5349"/>
    <w:rsid w:val="001D6A3C"/>
    <w:rsid w:val="001D6D51"/>
    <w:rsid w:val="001E0F58"/>
    <w:rsid w:val="001F653A"/>
    <w:rsid w:val="001F6979"/>
    <w:rsid w:val="00202BC6"/>
    <w:rsid w:val="00205141"/>
    <w:rsid w:val="0020516B"/>
    <w:rsid w:val="00213559"/>
    <w:rsid w:val="00213EFD"/>
    <w:rsid w:val="002172F1"/>
    <w:rsid w:val="00223C7B"/>
    <w:rsid w:val="00224AB1"/>
    <w:rsid w:val="0022687A"/>
    <w:rsid w:val="00230728"/>
    <w:rsid w:val="002339D4"/>
    <w:rsid w:val="00234040"/>
    <w:rsid w:val="00235CD2"/>
    <w:rsid w:val="00250956"/>
    <w:rsid w:val="00251D85"/>
    <w:rsid w:val="0025297E"/>
    <w:rsid w:val="002549FC"/>
    <w:rsid w:val="00254DED"/>
    <w:rsid w:val="00255619"/>
    <w:rsid w:val="00255DAD"/>
    <w:rsid w:val="00256108"/>
    <w:rsid w:val="002568C5"/>
    <w:rsid w:val="00260F33"/>
    <w:rsid w:val="002613BD"/>
    <w:rsid w:val="0026166A"/>
    <w:rsid w:val="0026189D"/>
    <w:rsid w:val="00261ECB"/>
    <w:rsid w:val="002624F1"/>
    <w:rsid w:val="00266B3B"/>
    <w:rsid w:val="00270C81"/>
    <w:rsid w:val="00271529"/>
    <w:rsid w:val="00271558"/>
    <w:rsid w:val="00273056"/>
    <w:rsid w:val="00274862"/>
    <w:rsid w:val="00282D72"/>
    <w:rsid w:val="00283402"/>
    <w:rsid w:val="00283B48"/>
    <w:rsid w:val="002844FC"/>
    <w:rsid w:val="00290FD6"/>
    <w:rsid w:val="00294259"/>
    <w:rsid w:val="002A2C81"/>
    <w:rsid w:val="002A325F"/>
    <w:rsid w:val="002B23BA"/>
    <w:rsid w:val="002B3D1A"/>
    <w:rsid w:val="002B6613"/>
    <w:rsid w:val="002C27D0"/>
    <w:rsid w:val="002C2C9B"/>
    <w:rsid w:val="002C441C"/>
    <w:rsid w:val="002C6C18"/>
    <w:rsid w:val="002D17D6"/>
    <w:rsid w:val="002D18D7"/>
    <w:rsid w:val="002D21CE"/>
    <w:rsid w:val="002D6501"/>
    <w:rsid w:val="002E071A"/>
    <w:rsid w:val="002E3DA3"/>
    <w:rsid w:val="002E450F"/>
    <w:rsid w:val="002E6B38"/>
    <w:rsid w:val="002E6D63"/>
    <w:rsid w:val="002E6E2B"/>
    <w:rsid w:val="002F14AF"/>
    <w:rsid w:val="002F4F25"/>
    <w:rsid w:val="002F4FC7"/>
    <w:rsid w:val="002F500B"/>
    <w:rsid w:val="002F6DEE"/>
    <w:rsid w:val="00300991"/>
    <w:rsid w:val="00301959"/>
    <w:rsid w:val="00303076"/>
    <w:rsid w:val="00305B8A"/>
    <w:rsid w:val="003133B4"/>
    <w:rsid w:val="003133DD"/>
    <w:rsid w:val="0031500E"/>
    <w:rsid w:val="003168C0"/>
    <w:rsid w:val="003242FD"/>
    <w:rsid w:val="0032609B"/>
    <w:rsid w:val="00331649"/>
    <w:rsid w:val="00331BF9"/>
    <w:rsid w:val="003320C6"/>
    <w:rsid w:val="00333041"/>
    <w:rsid w:val="0033495E"/>
    <w:rsid w:val="00334A79"/>
    <w:rsid w:val="00334D8D"/>
    <w:rsid w:val="00335E5C"/>
    <w:rsid w:val="00337345"/>
    <w:rsid w:val="00337DD2"/>
    <w:rsid w:val="003404D1"/>
    <w:rsid w:val="00342292"/>
    <w:rsid w:val="003443FF"/>
    <w:rsid w:val="003514F6"/>
    <w:rsid w:val="00355808"/>
    <w:rsid w:val="00355E0B"/>
    <w:rsid w:val="0036096C"/>
    <w:rsid w:val="00362C7E"/>
    <w:rsid w:val="0036310C"/>
    <w:rsid w:val="00363309"/>
    <w:rsid w:val="00363601"/>
    <w:rsid w:val="00371857"/>
    <w:rsid w:val="00375EAE"/>
    <w:rsid w:val="00375ED0"/>
    <w:rsid w:val="00376AC9"/>
    <w:rsid w:val="00381517"/>
    <w:rsid w:val="00387207"/>
    <w:rsid w:val="003875A4"/>
    <w:rsid w:val="00391E52"/>
    <w:rsid w:val="00393032"/>
    <w:rsid w:val="00394159"/>
    <w:rsid w:val="00394B69"/>
    <w:rsid w:val="00397078"/>
    <w:rsid w:val="003A50D7"/>
    <w:rsid w:val="003A6953"/>
    <w:rsid w:val="003B14B9"/>
    <w:rsid w:val="003B6083"/>
    <w:rsid w:val="003B7F48"/>
    <w:rsid w:val="003C37CB"/>
    <w:rsid w:val="003C3838"/>
    <w:rsid w:val="003C5847"/>
    <w:rsid w:val="003D0681"/>
    <w:rsid w:val="003D12F6"/>
    <w:rsid w:val="003D1426"/>
    <w:rsid w:val="003D684F"/>
    <w:rsid w:val="003E2F4E"/>
    <w:rsid w:val="003E3854"/>
    <w:rsid w:val="003E6A12"/>
    <w:rsid w:val="003E720A"/>
    <w:rsid w:val="00403E6E"/>
    <w:rsid w:val="00406BB1"/>
    <w:rsid w:val="00411AEA"/>
    <w:rsid w:val="004129B4"/>
    <w:rsid w:val="00414252"/>
    <w:rsid w:val="00415B1D"/>
    <w:rsid w:val="00417EF0"/>
    <w:rsid w:val="00422181"/>
    <w:rsid w:val="004244A8"/>
    <w:rsid w:val="00425F72"/>
    <w:rsid w:val="00427736"/>
    <w:rsid w:val="00441787"/>
    <w:rsid w:val="00444F2D"/>
    <w:rsid w:val="00452034"/>
    <w:rsid w:val="004531C5"/>
    <w:rsid w:val="00454B0F"/>
    <w:rsid w:val="00455FA6"/>
    <w:rsid w:val="0046600C"/>
    <w:rsid w:val="00466C70"/>
    <w:rsid w:val="004702C9"/>
    <w:rsid w:val="00471228"/>
    <w:rsid w:val="00472E45"/>
    <w:rsid w:val="00473FEA"/>
    <w:rsid w:val="0047579D"/>
    <w:rsid w:val="00477317"/>
    <w:rsid w:val="00477BB1"/>
    <w:rsid w:val="004802B8"/>
    <w:rsid w:val="00481F21"/>
    <w:rsid w:val="00483262"/>
    <w:rsid w:val="00484107"/>
    <w:rsid w:val="00485CC5"/>
    <w:rsid w:val="00486EEC"/>
    <w:rsid w:val="004874F1"/>
    <w:rsid w:val="00490C02"/>
    <w:rsid w:val="00492D1F"/>
    <w:rsid w:val="0049343F"/>
    <w:rsid w:val="00494C03"/>
    <w:rsid w:val="004964FC"/>
    <w:rsid w:val="004977BB"/>
    <w:rsid w:val="004A145E"/>
    <w:rsid w:val="004A1F15"/>
    <w:rsid w:val="004A2A81"/>
    <w:rsid w:val="004A7BD7"/>
    <w:rsid w:val="004B585B"/>
    <w:rsid w:val="004C0C11"/>
    <w:rsid w:val="004C15C2"/>
    <w:rsid w:val="004C1F3A"/>
    <w:rsid w:val="004C36D8"/>
    <w:rsid w:val="004D1248"/>
    <w:rsid w:val="004D16F0"/>
    <w:rsid w:val="004D1E3C"/>
    <w:rsid w:val="004D4169"/>
    <w:rsid w:val="004D6E14"/>
    <w:rsid w:val="004E437B"/>
    <w:rsid w:val="004E56F5"/>
    <w:rsid w:val="004F0575"/>
    <w:rsid w:val="004F42AE"/>
    <w:rsid w:val="004F4E17"/>
    <w:rsid w:val="0050082F"/>
    <w:rsid w:val="00500C56"/>
    <w:rsid w:val="00501713"/>
    <w:rsid w:val="00506568"/>
    <w:rsid w:val="005066D6"/>
    <w:rsid w:val="00513D9B"/>
    <w:rsid w:val="0051551B"/>
    <w:rsid w:val="00520C57"/>
    <w:rsid w:val="00522D94"/>
    <w:rsid w:val="00533D89"/>
    <w:rsid w:val="00536564"/>
    <w:rsid w:val="00544597"/>
    <w:rsid w:val="00544FFE"/>
    <w:rsid w:val="005473F5"/>
    <w:rsid w:val="005477E7"/>
    <w:rsid w:val="00552794"/>
    <w:rsid w:val="00552FF4"/>
    <w:rsid w:val="00555C5E"/>
    <w:rsid w:val="00556B1F"/>
    <w:rsid w:val="00563199"/>
    <w:rsid w:val="005632C2"/>
    <w:rsid w:val="00564874"/>
    <w:rsid w:val="00564D25"/>
    <w:rsid w:val="00566CBE"/>
    <w:rsid w:val="00567963"/>
    <w:rsid w:val="0057009A"/>
    <w:rsid w:val="00571260"/>
    <w:rsid w:val="00571677"/>
    <w:rsid w:val="0057189C"/>
    <w:rsid w:val="0057305B"/>
    <w:rsid w:val="00573FC1"/>
    <w:rsid w:val="005741EE"/>
    <w:rsid w:val="0057668E"/>
    <w:rsid w:val="0058029E"/>
    <w:rsid w:val="00580760"/>
    <w:rsid w:val="00595E83"/>
    <w:rsid w:val="00596530"/>
    <w:rsid w:val="005967F3"/>
    <w:rsid w:val="005A06DF"/>
    <w:rsid w:val="005A5527"/>
    <w:rsid w:val="005A5AE6"/>
    <w:rsid w:val="005B021B"/>
    <w:rsid w:val="005B1206"/>
    <w:rsid w:val="005B37E8"/>
    <w:rsid w:val="005B44B8"/>
    <w:rsid w:val="005B51AE"/>
    <w:rsid w:val="005C0056"/>
    <w:rsid w:val="005D61D6"/>
    <w:rsid w:val="005D6956"/>
    <w:rsid w:val="005E0D13"/>
    <w:rsid w:val="005E3C1E"/>
    <w:rsid w:val="005E4CF1"/>
    <w:rsid w:val="005E5047"/>
    <w:rsid w:val="005E7205"/>
    <w:rsid w:val="005E7371"/>
    <w:rsid w:val="005F0B92"/>
    <w:rsid w:val="005F116C"/>
    <w:rsid w:val="005F2131"/>
    <w:rsid w:val="00601C7D"/>
    <w:rsid w:val="006039D2"/>
    <w:rsid w:val="00603F5B"/>
    <w:rsid w:val="00605EF6"/>
    <w:rsid w:val="00606455"/>
    <w:rsid w:val="00614929"/>
    <w:rsid w:val="00616486"/>
    <w:rsid w:val="00616511"/>
    <w:rsid w:val="006176ED"/>
    <w:rsid w:val="006202F3"/>
    <w:rsid w:val="0062097A"/>
    <w:rsid w:val="00621DA6"/>
    <w:rsid w:val="00623CFE"/>
    <w:rsid w:val="00627221"/>
    <w:rsid w:val="00627EE8"/>
    <w:rsid w:val="006316FA"/>
    <w:rsid w:val="0063275A"/>
    <w:rsid w:val="006354A7"/>
    <w:rsid w:val="006370D2"/>
    <w:rsid w:val="0064074F"/>
    <w:rsid w:val="00641F55"/>
    <w:rsid w:val="00645E4A"/>
    <w:rsid w:val="00650305"/>
    <w:rsid w:val="00653688"/>
    <w:rsid w:val="00655836"/>
    <w:rsid w:val="0066091B"/>
    <w:rsid w:val="0066395F"/>
    <w:rsid w:val="006660E9"/>
    <w:rsid w:val="00667249"/>
    <w:rsid w:val="00667558"/>
    <w:rsid w:val="00667E36"/>
    <w:rsid w:val="0067014E"/>
    <w:rsid w:val="00671523"/>
    <w:rsid w:val="006754EF"/>
    <w:rsid w:val="00676C8D"/>
    <w:rsid w:val="00676F1F"/>
    <w:rsid w:val="00677381"/>
    <w:rsid w:val="00677414"/>
    <w:rsid w:val="00680C41"/>
    <w:rsid w:val="006832CF"/>
    <w:rsid w:val="0068601E"/>
    <w:rsid w:val="0069486B"/>
    <w:rsid w:val="006A0D1F"/>
    <w:rsid w:val="006A3292"/>
    <w:rsid w:val="006A4904"/>
    <w:rsid w:val="006A548F"/>
    <w:rsid w:val="006A5972"/>
    <w:rsid w:val="006A701A"/>
    <w:rsid w:val="006B4D6F"/>
    <w:rsid w:val="006B64DC"/>
    <w:rsid w:val="006B7A91"/>
    <w:rsid w:val="006C2454"/>
    <w:rsid w:val="006C4B68"/>
    <w:rsid w:val="006C62C1"/>
    <w:rsid w:val="006D4704"/>
    <w:rsid w:val="006D6A2D"/>
    <w:rsid w:val="006E1E18"/>
    <w:rsid w:val="006E31CE"/>
    <w:rsid w:val="006E34D3"/>
    <w:rsid w:val="006E6F62"/>
    <w:rsid w:val="006F1435"/>
    <w:rsid w:val="006F3BDB"/>
    <w:rsid w:val="006F48BB"/>
    <w:rsid w:val="006F78C4"/>
    <w:rsid w:val="006F7986"/>
    <w:rsid w:val="007031A0"/>
    <w:rsid w:val="00705A29"/>
    <w:rsid w:val="007073F8"/>
    <w:rsid w:val="00707498"/>
    <w:rsid w:val="00711A65"/>
    <w:rsid w:val="00714133"/>
    <w:rsid w:val="00714DA4"/>
    <w:rsid w:val="007158B2"/>
    <w:rsid w:val="00716081"/>
    <w:rsid w:val="00722B48"/>
    <w:rsid w:val="00724164"/>
    <w:rsid w:val="00725DE7"/>
    <w:rsid w:val="0072636A"/>
    <w:rsid w:val="00726B44"/>
    <w:rsid w:val="007271BC"/>
    <w:rsid w:val="007318DD"/>
    <w:rsid w:val="00733167"/>
    <w:rsid w:val="00740D2C"/>
    <w:rsid w:val="007415D0"/>
    <w:rsid w:val="00742A54"/>
    <w:rsid w:val="00744BF9"/>
    <w:rsid w:val="007479C0"/>
    <w:rsid w:val="00752623"/>
    <w:rsid w:val="00752D90"/>
    <w:rsid w:val="00754F01"/>
    <w:rsid w:val="00760F1F"/>
    <w:rsid w:val="00761206"/>
    <w:rsid w:val="007617D1"/>
    <w:rsid w:val="007635DA"/>
    <w:rsid w:val="0076382D"/>
    <w:rsid w:val="0076384B"/>
    <w:rsid w:val="0076423E"/>
    <w:rsid w:val="007646CB"/>
    <w:rsid w:val="0076658F"/>
    <w:rsid w:val="0077040A"/>
    <w:rsid w:val="00772D64"/>
    <w:rsid w:val="00785DAC"/>
    <w:rsid w:val="00792609"/>
    <w:rsid w:val="00792887"/>
    <w:rsid w:val="00793B28"/>
    <w:rsid w:val="007943E2"/>
    <w:rsid w:val="00794F2C"/>
    <w:rsid w:val="0079696E"/>
    <w:rsid w:val="007A3BC7"/>
    <w:rsid w:val="007A5AC4"/>
    <w:rsid w:val="007B0FDD"/>
    <w:rsid w:val="007B4660"/>
    <w:rsid w:val="007B4802"/>
    <w:rsid w:val="007B610B"/>
    <w:rsid w:val="007B6668"/>
    <w:rsid w:val="007B6B33"/>
    <w:rsid w:val="007C0C72"/>
    <w:rsid w:val="007C2701"/>
    <w:rsid w:val="007C2EF5"/>
    <w:rsid w:val="007D011C"/>
    <w:rsid w:val="007D2192"/>
    <w:rsid w:val="007D3D29"/>
    <w:rsid w:val="007D48E4"/>
    <w:rsid w:val="007D6C09"/>
    <w:rsid w:val="007F0021"/>
    <w:rsid w:val="007F1803"/>
    <w:rsid w:val="007F2F52"/>
    <w:rsid w:val="007F44E2"/>
    <w:rsid w:val="007F75D7"/>
    <w:rsid w:val="00801CEA"/>
    <w:rsid w:val="00801F71"/>
    <w:rsid w:val="008039C4"/>
    <w:rsid w:val="00805F28"/>
    <w:rsid w:val="00806D0A"/>
    <w:rsid w:val="0080749F"/>
    <w:rsid w:val="008078AE"/>
    <w:rsid w:val="008103C4"/>
    <w:rsid w:val="00811D46"/>
    <w:rsid w:val="008125B0"/>
    <w:rsid w:val="008144CB"/>
    <w:rsid w:val="00814DF9"/>
    <w:rsid w:val="00821717"/>
    <w:rsid w:val="00821F99"/>
    <w:rsid w:val="00822ABF"/>
    <w:rsid w:val="00824210"/>
    <w:rsid w:val="008263C0"/>
    <w:rsid w:val="00834799"/>
    <w:rsid w:val="008400AF"/>
    <w:rsid w:val="00841422"/>
    <w:rsid w:val="00841D3B"/>
    <w:rsid w:val="0084314C"/>
    <w:rsid w:val="00843171"/>
    <w:rsid w:val="00845BBA"/>
    <w:rsid w:val="008462A7"/>
    <w:rsid w:val="00856799"/>
    <w:rsid w:val="008575C3"/>
    <w:rsid w:val="00863423"/>
    <w:rsid w:val="00863D28"/>
    <w:rsid w:val="008648C3"/>
    <w:rsid w:val="008649EF"/>
    <w:rsid w:val="00864C28"/>
    <w:rsid w:val="008679D6"/>
    <w:rsid w:val="00870754"/>
    <w:rsid w:val="0087481E"/>
    <w:rsid w:val="00874B2F"/>
    <w:rsid w:val="00880F26"/>
    <w:rsid w:val="008934EB"/>
    <w:rsid w:val="0089686E"/>
    <w:rsid w:val="00896C2E"/>
    <w:rsid w:val="008A5095"/>
    <w:rsid w:val="008A608F"/>
    <w:rsid w:val="008B1A9A"/>
    <w:rsid w:val="008B3E10"/>
    <w:rsid w:val="008B4FE6"/>
    <w:rsid w:val="008B6C37"/>
    <w:rsid w:val="008D18B0"/>
    <w:rsid w:val="008E18F7"/>
    <w:rsid w:val="008E1C2E"/>
    <w:rsid w:val="008E1E10"/>
    <w:rsid w:val="008E291B"/>
    <w:rsid w:val="008E4F2F"/>
    <w:rsid w:val="008E74B0"/>
    <w:rsid w:val="008F4E87"/>
    <w:rsid w:val="00900458"/>
    <w:rsid w:val="009008A8"/>
    <w:rsid w:val="00905DF7"/>
    <w:rsid w:val="009063B0"/>
    <w:rsid w:val="00907106"/>
    <w:rsid w:val="009107FD"/>
    <w:rsid w:val="0091088F"/>
    <w:rsid w:val="0091137C"/>
    <w:rsid w:val="00911567"/>
    <w:rsid w:val="00913989"/>
    <w:rsid w:val="009147B5"/>
    <w:rsid w:val="00914AAE"/>
    <w:rsid w:val="00917AAE"/>
    <w:rsid w:val="009229C5"/>
    <w:rsid w:val="009251A9"/>
    <w:rsid w:val="0093012C"/>
    <w:rsid w:val="00930699"/>
    <w:rsid w:val="00931F69"/>
    <w:rsid w:val="00934123"/>
    <w:rsid w:val="00941503"/>
    <w:rsid w:val="00955774"/>
    <w:rsid w:val="009560B5"/>
    <w:rsid w:val="009604A7"/>
    <w:rsid w:val="00963D38"/>
    <w:rsid w:val="00967D97"/>
    <w:rsid w:val="009703D6"/>
    <w:rsid w:val="0097181B"/>
    <w:rsid w:val="00974F66"/>
    <w:rsid w:val="00976DC5"/>
    <w:rsid w:val="009818C7"/>
    <w:rsid w:val="00982DD4"/>
    <w:rsid w:val="009841E5"/>
    <w:rsid w:val="0098479F"/>
    <w:rsid w:val="00984A8A"/>
    <w:rsid w:val="00984D1C"/>
    <w:rsid w:val="0098565B"/>
    <w:rsid w:val="009857B6"/>
    <w:rsid w:val="00985A8D"/>
    <w:rsid w:val="00986610"/>
    <w:rsid w:val="009877DC"/>
    <w:rsid w:val="00991F96"/>
    <w:rsid w:val="00992AF3"/>
    <w:rsid w:val="00996F0A"/>
    <w:rsid w:val="009A0658"/>
    <w:rsid w:val="009A1D86"/>
    <w:rsid w:val="009A3181"/>
    <w:rsid w:val="009B049C"/>
    <w:rsid w:val="009B11C8"/>
    <w:rsid w:val="009B2BCF"/>
    <w:rsid w:val="009B2FF8"/>
    <w:rsid w:val="009B5BA3"/>
    <w:rsid w:val="009B6176"/>
    <w:rsid w:val="009C0DE7"/>
    <w:rsid w:val="009C17CD"/>
    <w:rsid w:val="009C1823"/>
    <w:rsid w:val="009C2CDD"/>
    <w:rsid w:val="009D0027"/>
    <w:rsid w:val="009D0655"/>
    <w:rsid w:val="009D7611"/>
    <w:rsid w:val="009E1E98"/>
    <w:rsid w:val="009E3ABE"/>
    <w:rsid w:val="009E3C4B"/>
    <w:rsid w:val="009E518B"/>
    <w:rsid w:val="009F0637"/>
    <w:rsid w:val="009F62A6"/>
    <w:rsid w:val="009F674F"/>
    <w:rsid w:val="009F6A81"/>
    <w:rsid w:val="009F78EA"/>
    <w:rsid w:val="009F799E"/>
    <w:rsid w:val="00A02020"/>
    <w:rsid w:val="00A056CB"/>
    <w:rsid w:val="00A072F0"/>
    <w:rsid w:val="00A07A29"/>
    <w:rsid w:val="00A10FF1"/>
    <w:rsid w:val="00A1506B"/>
    <w:rsid w:val="00A17CB2"/>
    <w:rsid w:val="00A2270E"/>
    <w:rsid w:val="00A23191"/>
    <w:rsid w:val="00A25100"/>
    <w:rsid w:val="00A274F2"/>
    <w:rsid w:val="00A319C0"/>
    <w:rsid w:val="00A33560"/>
    <w:rsid w:val="00A356E2"/>
    <w:rsid w:val="00A364E4"/>
    <w:rsid w:val="00A36AA4"/>
    <w:rsid w:val="00A371A5"/>
    <w:rsid w:val="00A42937"/>
    <w:rsid w:val="00A45CA1"/>
    <w:rsid w:val="00A47BDF"/>
    <w:rsid w:val="00A51CD7"/>
    <w:rsid w:val="00A52ADB"/>
    <w:rsid w:val="00A533E8"/>
    <w:rsid w:val="00A542D9"/>
    <w:rsid w:val="00A56E64"/>
    <w:rsid w:val="00A624C3"/>
    <w:rsid w:val="00A624FE"/>
    <w:rsid w:val="00A6610C"/>
    <w:rsid w:val="00A6641C"/>
    <w:rsid w:val="00A669B9"/>
    <w:rsid w:val="00A767D2"/>
    <w:rsid w:val="00A77616"/>
    <w:rsid w:val="00A77691"/>
    <w:rsid w:val="00A805DA"/>
    <w:rsid w:val="00A80B50"/>
    <w:rsid w:val="00A811B4"/>
    <w:rsid w:val="00A8134E"/>
    <w:rsid w:val="00A84F85"/>
    <w:rsid w:val="00A87CDE"/>
    <w:rsid w:val="00A919E1"/>
    <w:rsid w:val="00A91DF8"/>
    <w:rsid w:val="00A92BAF"/>
    <w:rsid w:val="00A9400F"/>
    <w:rsid w:val="00A94737"/>
    <w:rsid w:val="00A94BA3"/>
    <w:rsid w:val="00A96CBA"/>
    <w:rsid w:val="00AA0339"/>
    <w:rsid w:val="00AA5BA5"/>
    <w:rsid w:val="00AA6722"/>
    <w:rsid w:val="00AB1ACD"/>
    <w:rsid w:val="00AB277F"/>
    <w:rsid w:val="00AB37BB"/>
    <w:rsid w:val="00AB4099"/>
    <w:rsid w:val="00AB449A"/>
    <w:rsid w:val="00AB6675"/>
    <w:rsid w:val="00AB7696"/>
    <w:rsid w:val="00AC6672"/>
    <w:rsid w:val="00AD14F9"/>
    <w:rsid w:val="00AD30FA"/>
    <w:rsid w:val="00AD35D6"/>
    <w:rsid w:val="00AD58C5"/>
    <w:rsid w:val="00AE36C4"/>
    <w:rsid w:val="00AE472C"/>
    <w:rsid w:val="00AE5375"/>
    <w:rsid w:val="00AE6CF8"/>
    <w:rsid w:val="00AF04EB"/>
    <w:rsid w:val="00AF4867"/>
    <w:rsid w:val="00AF4CAC"/>
    <w:rsid w:val="00B03E0D"/>
    <w:rsid w:val="00B054F8"/>
    <w:rsid w:val="00B05D0E"/>
    <w:rsid w:val="00B12107"/>
    <w:rsid w:val="00B2219A"/>
    <w:rsid w:val="00B23D0B"/>
    <w:rsid w:val="00B269D7"/>
    <w:rsid w:val="00B3581B"/>
    <w:rsid w:val="00B36B81"/>
    <w:rsid w:val="00B36FEE"/>
    <w:rsid w:val="00B37C80"/>
    <w:rsid w:val="00B5092B"/>
    <w:rsid w:val="00B5194E"/>
    <w:rsid w:val="00B51AF5"/>
    <w:rsid w:val="00B531FC"/>
    <w:rsid w:val="00B55347"/>
    <w:rsid w:val="00B57E5E"/>
    <w:rsid w:val="00B617A7"/>
    <w:rsid w:val="00B61F37"/>
    <w:rsid w:val="00B65D54"/>
    <w:rsid w:val="00B7149B"/>
    <w:rsid w:val="00B74C76"/>
    <w:rsid w:val="00B7770F"/>
    <w:rsid w:val="00B77A89"/>
    <w:rsid w:val="00B77B27"/>
    <w:rsid w:val="00B8134E"/>
    <w:rsid w:val="00B81B55"/>
    <w:rsid w:val="00B84613"/>
    <w:rsid w:val="00B87AF0"/>
    <w:rsid w:val="00B9037B"/>
    <w:rsid w:val="00B910BD"/>
    <w:rsid w:val="00B9189C"/>
    <w:rsid w:val="00B93834"/>
    <w:rsid w:val="00B93B8C"/>
    <w:rsid w:val="00B96469"/>
    <w:rsid w:val="00BA0DA2"/>
    <w:rsid w:val="00BA146F"/>
    <w:rsid w:val="00BA2981"/>
    <w:rsid w:val="00BA2BB7"/>
    <w:rsid w:val="00BA349A"/>
    <w:rsid w:val="00BA3A50"/>
    <w:rsid w:val="00BA42EE"/>
    <w:rsid w:val="00BA48F9"/>
    <w:rsid w:val="00BA555B"/>
    <w:rsid w:val="00BA5F73"/>
    <w:rsid w:val="00BB0DCA"/>
    <w:rsid w:val="00BB2467"/>
    <w:rsid w:val="00BB2666"/>
    <w:rsid w:val="00BB287A"/>
    <w:rsid w:val="00BB6B80"/>
    <w:rsid w:val="00BC0F82"/>
    <w:rsid w:val="00BC3773"/>
    <w:rsid w:val="00BC381A"/>
    <w:rsid w:val="00BC6467"/>
    <w:rsid w:val="00BD0962"/>
    <w:rsid w:val="00BD1EED"/>
    <w:rsid w:val="00BE26CF"/>
    <w:rsid w:val="00BE63C2"/>
    <w:rsid w:val="00BF0DA2"/>
    <w:rsid w:val="00BF109C"/>
    <w:rsid w:val="00BF34FA"/>
    <w:rsid w:val="00BF354F"/>
    <w:rsid w:val="00C004B6"/>
    <w:rsid w:val="00C01EC9"/>
    <w:rsid w:val="00C0242C"/>
    <w:rsid w:val="00C047A7"/>
    <w:rsid w:val="00C05AE7"/>
    <w:rsid w:val="00C05DE5"/>
    <w:rsid w:val="00C05F4C"/>
    <w:rsid w:val="00C1092B"/>
    <w:rsid w:val="00C1408E"/>
    <w:rsid w:val="00C152C2"/>
    <w:rsid w:val="00C212E5"/>
    <w:rsid w:val="00C22007"/>
    <w:rsid w:val="00C3024C"/>
    <w:rsid w:val="00C33027"/>
    <w:rsid w:val="00C33558"/>
    <w:rsid w:val="00C37667"/>
    <w:rsid w:val="00C37F1F"/>
    <w:rsid w:val="00C435DB"/>
    <w:rsid w:val="00C44D73"/>
    <w:rsid w:val="00C50B42"/>
    <w:rsid w:val="00C516FF"/>
    <w:rsid w:val="00C52BFA"/>
    <w:rsid w:val="00C53D1D"/>
    <w:rsid w:val="00C53F26"/>
    <w:rsid w:val="00C540BC"/>
    <w:rsid w:val="00C5499D"/>
    <w:rsid w:val="00C60204"/>
    <w:rsid w:val="00C60BBA"/>
    <w:rsid w:val="00C64F7D"/>
    <w:rsid w:val="00C65203"/>
    <w:rsid w:val="00C67309"/>
    <w:rsid w:val="00C71834"/>
    <w:rsid w:val="00C753F2"/>
    <w:rsid w:val="00C7614E"/>
    <w:rsid w:val="00C7710F"/>
    <w:rsid w:val="00C77BF1"/>
    <w:rsid w:val="00C80D60"/>
    <w:rsid w:val="00C82FBD"/>
    <w:rsid w:val="00C85267"/>
    <w:rsid w:val="00C8721B"/>
    <w:rsid w:val="00C9372C"/>
    <w:rsid w:val="00C9470E"/>
    <w:rsid w:val="00C95CEB"/>
    <w:rsid w:val="00C96D12"/>
    <w:rsid w:val="00CA1054"/>
    <w:rsid w:val="00CA63EB"/>
    <w:rsid w:val="00CA69F1"/>
    <w:rsid w:val="00CB0584"/>
    <w:rsid w:val="00CB1485"/>
    <w:rsid w:val="00CB6991"/>
    <w:rsid w:val="00CB6D3B"/>
    <w:rsid w:val="00CB764A"/>
    <w:rsid w:val="00CC6194"/>
    <w:rsid w:val="00CC6305"/>
    <w:rsid w:val="00CC78A5"/>
    <w:rsid w:val="00CD0516"/>
    <w:rsid w:val="00CD756B"/>
    <w:rsid w:val="00CE64A2"/>
    <w:rsid w:val="00CE734F"/>
    <w:rsid w:val="00CF112E"/>
    <w:rsid w:val="00CF5F4F"/>
    <w:rsid w:val="00CF6111"/>
    <w:rsid w:val="00D01400"/>
    <w:rsid w:val="00D02251"/>
    <w:rsid w:val="00D12010"/>
    <w:rsid w:val="00D218DC"/>
    <w:rsid w:val="00D24E56"/>
    <w:rsid w:val="00D31643"/>
    <w:rsid w:val="00D31AEB"/>
    <w:rsid w:val="00D32ECD"/>
    <w:rsid w:val="00D361E4"/>
    <w:rsid w:val="00D40725"/>
    <w:rsid w:val="00D40927"/>
    <w:rsid w:val="00D42A8F"/>
    <w:rsid w:val="00D439F6"/>
    <w:rsid w:val="00D459C6"/>
    <w:rsid w:val="00D50257"/>
    <w:rsid w:val="00D50729"/>
    <w:rsid w:val="00D50C19"/>
    <w:rsid w:val="00D524F2"/>
    <w:rsid w:val="00D5379E"/>
    <w:rsid w:val="00D564DF"/>
    <w:rsid w:val="00D62643"/>
    <w:rsid w:val="00D630EB"/>
    <w:rsid w:val="00D64C0F"/>
    <w:rsid w:val="00D66961"/>
    <w:rsid w:val="00D72C5D"/>
    <w:rsid w:val="00D72EE5"/>
    <w:rsid w:val="00D72EFE"/>
    <w:rsid w:val="00D76227"/>
    <w:rsid w:val="00D77DF1"/>
    <w:rsid w:val="00D83258"/>
    <w:rsid w:val="00D86AFF"/>
    <w:rsid w:val="00D87837"/>
    <w:rsid w:val="00D94839"/>
    <w:rsid w:val="00D9498B"/>
    <w:rsid w:val="00D95A44"/>
    <w:rsid w:val="00D95D16"/>
    <w:rsid w:val="00D97C76"/>
    <w:rsid w:val="00DA3A1C"/>
    <w:rsid w:val="00DB02B4"/>
    <w:rsid w:val="00DB1C50"/>
    <w:rsid w:val="00DB538D"/>
    <w:rsid w:val="00DC275C"/>
    <w:rsid w:val="00DC4B0D"/>
    <w:rsid w:val="00DC7FE1"/>
    <w:rsid w:val="00DD3F3F"/>
    <w:rsid w:val="00DD5572"/>
    <w:rsid w:val="00DD6B93"/>
    <w:rsid w:val="00DE194E"/>
    <w:rsid w:val="00DE3173"/>
    <w:rsid w:val="00DE381F"/>
    <w:rsid w:val="00DE5D80"/>
    <w:rsid w:val="00DF58CD"/>
    <w:rsid w:val="00DF6255"/>
    <w:rsid w:val="00DF65DE"/>
    <w:rsid w:val="00E019A5"/>
    <w:rsid w:val="00E02EC8"/>
    <w:rsid w:val="00E037F5"/>
    <w:rsid w:val="00E04ECB"/>
    <w:rsid w:val="00E05A09"/>
    <w:rsid w:val="00E05EA4"/>
    <w:rsid w:val="00E06CA1"/>
    <w:rsid w:val="00E172B8"/>
    <w:rsid w:val="00E17FB4"/>
    <w:rsid w:val="00E20B75"/>
    <w:rsid w:val="00E214F2"/>
    <w:rsid w:val="00E2371E"/>
    <w:rsid w:val="00E2430C"/>
    <w:rsid w:val="00E24BD7"/>
    <w:rsid w:val="00E26523"/>
    <w:rsid w:val="00E26809"/>
    <w:rsid w:val="00E3412D"/>
    <w:rsid w:val="00E4424E"/>
    <w:rsid w:val="00E452F9"/>
    <w:rsid w:val="00E47E7E"/>
    <w:rsid w:val="00E53238"/>
    <w:rsid w:val="00E57322"/>
    <w:rsid w:val="00E628CB"/>
    <w:rsid w:val="00E62A4A"/>
    <w:rsid w:val="00E62AD9"/>
    <w:rsid w:val="00E62AF8"/>
    <w:rsid w:val="00E638C8"/>
    <w:rsid w:val="00E6567D"/>
    <w:rsid w:val="00E70C86"/>
    <w:rsid w:val="00E72E5E"/>
    <w:rsid w:val="00E7509B"/>
    <w:rsid w:val="00E802B0"/>
    <w:rsid w:val="00E8292C"/>
    <w:rsid w:val="00E83C68"/>
    <w:rsid w:val="00E86590"/>
    <w:rsid w:val="00E86E60"/>
    <w:rsid w:val="00E907FF"/>
    <w:rsid w:val="00E91934"/>
    <w:rsid w:val="00EA42D1"/>
    <w:rsid w:val="00EA42EF"/>
    <w:rsid w:val="00EB2DD1"/>
    <w:rsid w:val="00EB6B37"/>
    <w:rsid w:val="00EC29FE"/>
    <w:rsid w:val="00EC3C70"/>
    <w:rsid w:val="00EC5ABB"/>
    <w:rsid w:val="00ED0A13"/>
    <w:rsid w:val="00ED2123"/>
    <w:rsid w:val="00ED2840"/>
    <w:rsid w:val="00ED33B6"/>
    <w:rsid w:val="00ED3A3D"/>
    <w:rsid w:val="00ED538A"/>
    <w:rsid w:val="00ED5F2B"/>
    <w:rsid w:val="00ED6FBC"/>
    <w:rsid w:val="00ED7806"/>
    <w:rsid w:val="00EE1295"/>
    <w:rsid w:val="00EE29CA"/>
    <w:rsid w:val="00EE2F16"/>
    <w:rsid w:val="00EE3861"/>
    <w:rsid w:val="00EE5802"/>
    <w:rsid w:val="00EF290C"/>
    <w:rsid w:val="00EF2E73"/>
    <w:rsid w:val="00EF7683"/>
    <w:rsid w:val="00EF797B"/>
    <w:rsid w:val="00EF7A2D"/>
    <w:rsid w:val="00F014FA"/>
    <w:rsid w:val="00F04F8D"/>
    <w:rsid w:val="00F10AD0"/>
    <w:rsid w:val="00F10F6A"/>
    <w:rsid w:val="00F116CC"/>
    <w:rsid w:val="00F12BD1"/>
    <w:rsid w:val="00F143FA"/>
    <w:rsid w:val="00F15327"/>
    <w:rsid w:val="00F168CF"/>
    <w:rsid w:val="00F17335"/>
    <w:rsid w:val="00F20CD0"/>
    <w:rsid w:val="00F2555C"/>
    <w:rsid w:val="00F25C76"/>
    <w:rsid w:val="00F31DF3"/>
    <w:rsid w:val="00F33AE5"/>
    <w:rsid w:val="00F34B40"/>
    <w:rsid w:val="00F3597D"/>
    <w:rsid w:val="00F41AC6"/>
    <w:rsid w:val="00F4376D"/>
    <w:rsid w:val="00F45399"/>
    <w:rsid w:val="00F465EA"/>
    <w:rsid w:val="00F54E7B"/>
    <w:rsid w:val="00F55A88"/>
    <w:rsid w:val="00F61A42"/>
    <w:rsid w:val="00F63682"/>
    <w:rsid w:val="00F64182"/>
    <w:rsid w:val="00F64AD5"/>
    <w:rsid w:val="00F74005"/>
    <w:rsid w:val="00F76884"/>
    <w:rsid w:val="00F83D24"/>
    <w:rsid w:val="00F83DD9"/>
    <w:rsid w:val="00F83F40"/>
    <w:rsid w:val="00F8602E"/>
    <w:rsid w:val="00F9566D"/>
    <w:rsid w:val="00FA117A"/>
    <w:rsid w:val="00FA20D1"/>
    <w:rsid w:val="00FA2B38"/>
    <w:rsid w:val="00FA3A21"/>
    <w:rsid w:val="00FB1A75"/>
    <w:rsid w:val="00FB386A"/>
    <w:rsid w:val="00FC0786"/>
    <w:rsid w:val="00FC49EF"/>
    <w:rsid w:val="00FD0FEE"/>
    <w:rsid w:val="00FD31C4"/>
    <w:rsid w:val="00FD4802"/>
    <w:rsid w:val="00FE0A38"/>
    <w:rsid w:val="00FE36E2"/>
    <w:rsid w:val="00FF11AD"/>
    <w:rsid w:val="00FF2971"/>
    <w:rsid w:val="00FF34D4"/>
    <w:rsid w:val="00FF3FEE"/>
    <w:rsid w:val="00FF4F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nhideWhenUsed/>
    <w:qFormat/>
    <w:locked/>
    <w:rsid w:val="002F6DE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basedOn w:val="Normalny"/>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unhideWhenUsed/>
    <w:rsid w:val="00E62AF8"/>
    <w:rPr>
      <w:sz w:val="20"/>
      <w:szCs w:val="20"/>
    </w:rPr>
  </w:style>
  <w:style w:type="character" w:customStyle="1" w:styleId="TekstkomentarzaZnak">
    <w:name w:val="Tekst komentarza Znak"/>
    <w:link w:val="Tekstkomentarza"/>
    <w:uiPriority w:val="99"/>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styleId="Tekstzastpczy">
    <w:name w:val="Placeholder Text"/>
    <w:basedOn w:val="Domylnaczcionkaakapitu"/>
    <w:uiPriority w:val="99"/>
    <w:semiHidden/>
    <w:rsid w:val="00EF290C"/>
    <w:rPr>
      <w:color w:val="808080"/>
    </w:rPr>
  </w:style>
  <w:style w:type="paragraph" w:customStyle="1" w:styleId="PKTpunkt">
    <w:name w:val="PKT – punkt"/>
    <w:uiPriority w:val="13"/>
    <w:qFormat/>
    <w:rsid w:val="007F1803"/>
    <w:pPr>
      <w:spacing w:line="360" w:lineRule="auto"/>
      <w:ind w:left="510" w:hanging="510"/>
      <w:jc w:val="both"/>
    </w:pPr>
    <w:rPr>
      <w:rFonts w:ascii="Times" w:eastAsiaTheme="minorEastAsia" w:hAnsi="Times" w:cs="Arial"/>
      <w:bCs/>
      <w:sz w:val="24"/>
    </w:rPr>
  </w:style>
  <w:style w:type="paragraph" w:customStyle="1" w:styleId="ZnakZnakZnakZnak">
    <w:name w:val="Znak Znak Znak Znak"/>
    <w:basedOn w:val="Normalny"/>
    <w:rsid w:val="00303076"/>
    <w:pPr>
      <w:spacing w:line="240" w:lineRule="auto"/>
    </w:pPr>
    <w:rPr>
      <w:rFonts w:ascii="Times New Roman" w:eastAsia="Times New Roman" w:hAnsi="Times New Roman"/>
      <w:sz w:val="24"/>
      <w:szCs w:val="24"/>
      <w:lang w:eastAsia="pl-PL"/>
    </w:rPr>
  </w:style>
  <w:style w:type="character" w:customStyle="1" w:styleId="Nagwek2Znak">
    <w:name w:val="Nagłówek 2 Znak"/>
    <w:basedOn w:val="Domylnaczcionkaakapitu"/>
    <w:link w:val="Nagwek2"/>
    <w:rsid w:val="002F6DEE"/>
    <w:rPr>
      <w:rFonts w:asciiTheme="majorHAnsi" w:eastAsiaTheme="majorEastAsia" w:hAnsiTheme="majorHAnsi" w:cstheme="majorBidi"/>
      <w:b/>
      <w:bCs/>
      <w:color w:val="4F81BD" w:themeColor="accent1"/>
      <w:sz w:val="26"/>
      <w:szCs w:val="26"/>
      <w:lang w:eastAsia="en-US"/>
    </w:rPr>
  </w:style>
  <w:style w:type="paragraph" w:styleId="Poprawka">
    <w:name w:val="Revision"/>
    <w:hidden/>
    <w:uiPriority w:val="99"/>
    <w:semiHidden/>
    <w:rsid w:val="00DE381F"/>
    <w:rPr>
      <w:sz w:val="22"/>
      <w:szCs w:val="22"/>
      <w:lang w:eastAsia="en-US"/>
    </w:rPr>
  </w:style>
  <w:style w:type="paragraph" w:customStyle="1" w:styleId="Default">
    <w:name w:val="Default"/>
    <w:rsid w:val="00494C03"/>
    <w:pPr>
      <w:autoSpaceDE w:val="0"/>
      <w:autoSpaceDN w:val="0"/>
      <w:adjustRightInd w:val="0"/>
    </w:pPr>
    <w:rPr>
      <w:rFonts w:ascii="Tahoma" w:hAnsi="Tahoma" w:cs="Tahoma"/>
      <w:color w:val="000000"/>
      <w:sz w:val="24"/>
      <w:szCs w:val="24"/>
    </w:rPr>
  </w:style>
  <w:style w:type="paragraph" w:styleId="Bezodstpw">
    <w:name w:val="No Spacing"/>
    <w:uiPriority w:val="1"/>
    <w:qFormat/>
    <w:rsid w:val="00FD4802"/>
    <w:rPr>
      <w:sz w:val="22"/>
      <w:szCs w:val="22"/>
      <w:lang w:eastAsia="en-US"/>
    </w:rPr>
  </w:style>
  <w:style w:type="character" w:customStyle="1" w:styleId="Nierozpoznanawzmianka1">
    <w:name w:val="Nierozpoznana wzmianka1"/>
    <w:basedOn w:val="Domylnaczcionkaakapitu"/>
    <w:uiPriority w:val="99"/>
    <w:semiHidden/>
    <w:unhideWhenUsed/>
    <w:rsid w:val="00513D9B"/>
    <w:rPr>
      <w:color w:val="605E5C"/>
      <w:shd w:val="clear" w:color="auto" w:fill="E1DFDD"/>
    </w:rPr>
  </w:style>
  <w:style w:type="character" w:customStyle="1" w:styleId="Nierozpoznanawzmianka2">
    <w:name w:val="Nierozpoznana wzmianka2"/>
    <w:basedOn w:val="Domylnaczcionkaakapitu"/>
    <w:uiPriority w:val="99"/>
    <w:semiHidden/>
    <w:unhideWhenUsed/>
    <w:rsid w:val="00331649"/>
    <w:rPr>
      <w:color w:val="605E5C"/>
      <w:shd w:val="clear" w:color="auto" w:fill="E1DFDD"/>
    </w:rPr>
  </w:style>
  <w:style w:type="character" w:customStyle="1" w:styleId="Nierozpoznanawzmianka3">
    <w:name w:val="Nierozpoznana wzmianka3"/>
    <w:basedOn w:val="Domylnaczcionkaakapitu"/>
    <w:uiPriority w:val="99"/>
    <w:semiHidden/>
    <w:unhideWhenUsed/>
    <w:rsid w:val="00D022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396929467">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nf.gov.pl/podmioty/Podmioty_rynku_ubezpieczeniowego/Dzial_II_pozostale_ubezpieczenia_zaklady_ubezpieczen_dzialajace_w_formie_spolki_akcyjnej"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milia.konopka-gorna@klimat.gov.pl"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gnieszka.sosnowska@klimat.gov.pl" TargetMode="External"/><Relationship Id="rId5" Type="http://schemas.openxmlformats.org/officeDocument/2006/relationships/numbering" Target="numbering.xml"/><Relationship Id="rId15" Type="http://schemas.openxmlformats.org/officeDocument/2006/relationships/hyperlink" Target="https://www.knf.gov.pl/podmioty/Podmioty_rynku_ubezpieczeniowego/Dzial_II_pozostale_ubezpieczenia_osobowe_i_majatkowe_Oddzialy_zagranicznych_zakladow_ubezpieczen"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nf.gov.pl/podmioty/Podmioty_rynku_ubezpieczeniowego/Dzial_II_pozostale_ubezpieczenia_zaklady_ubezpieczen_dzialajace_w_formie_TUW"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2065159"/>
        <w:category>
          <w:name w:val="Ogólne"/>
          <w:gallery w:val="placeholder"/>
        </w:category>
        <w:types>
          <w:type w:val="bbPlcHdr"/>
        </w:types>
        <w:behaviors>
          <w:behavior w:val="content"/>
        </w:behaviors>
        <w:guid w:val="{8E1BFA08-CA9F-4AF9-91D6-5D6458516FEB}"/>
      </w:docPartPr>
      <w:docPartBody>
        <w:p w:rsidR="00F523DD" w:rsidRDefault="00AD66A9">
          <w:r w:rsidRPr="008D2484">
            <w:rPr>
              <w:rStyle w:val="Tekstzastpczy"/>
            </w:rPr>
            <w:t>Wybierz element.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AD66A9"/>
    <w:rsid w:val="000016DA"/>
    <w:rsid w:val="00023DB9"/>
    <w:rsid w:val="000470F1"/>
    <w:rsid w:val="00064D95"/>
    <w:rsid w:val="00155774"/>
    <w:rsid w:val="00180776"/>
    <w:rsid w:val="00191657"/>
    <w:rsid w:val="001E60B0"/>
    <w:rsid w:val="001F7504"/>
    <w:rsid w:val="00220FBD"/>
    <w:rsid w:val="002423CD"/>
    <w:rsid w:val="002503E1"/>
    <w:rsid w:val="00255529"/>
    <w:rsid w:val="002E6D65"/>
    <w:rsid w:val="002E7720"/>
    <w:rsid w:val="002F6D61"/>
    <w:rsid w:val="00355A25"/>
    <w:rsid w:val="0039126B"/>
    <w:rsid w:val="00493A78"/>
    <w:rsid w:val="004E443B"/>
    <w:rsid w:val="005740EC"/>
    <w:rsid w:val="005853D2"/>
    <w:rsid w:val="005946F0"/>
    <w:rsid w:val="005D4837"/>
    <w:rsid w:val="00725302"/>
    <w:rsid w:val="007431D5"/>
    <w:rsid w:val="007F4520"/>
    <w:rsid w:val="00854DF3"/>
    <w:rsid w:val="008C7CA2"/>
    <w:rsid w:val="00914D49"/>
    <w:rsid w:val="0091709A"/>
    <w:rsid w:val="00A90905"/>
    <w:rsid w:val="00A926A4"/>
    <w:rsid w:val="00AB4116"/>
    <w:rsid w:val="00AD66A9"/>
    <w:rsid w:val="00AF1ECE"/>
    <w:rsid w:val="00B17634"/>
    <w:rsid w:val="00B27220"/>
    <w:rsid w:val="00B333BE"/>
    <w:rsid w:val="00BB1493"/>
    <w:rsid w:val="00BB6A4F"/>
    <w:rsid w:val="00BE2BFF"/>
    <w:rsid w:val="00C6681C"/>
    <w:rsid w:val="00CF2C51"/>
    <w:rsid w:val="00CF7B64"/>
    <w:rsid w:val="00D03C98"/>
    <w:rsid w:val="00D15BE4"/>
    <w:rsid w:val="00DC5FF9"/>
    <w:rsid w:val="00DD3222"/>
    <w:rsid w:val="00DF6D61"/>
    <w:rsid w:val="00E33AE1"/>
    <w:rsid w:val="00E8547A"/>
    <w:rsid w:val="00EB17F2"/>
    <w:rsid w:val="00EB293D"/>
    <w:rsid w:val="00EE00C6"/>
    <w:rsid w:val="00EE4F93"/>
    <w:rsid w:val="00EF395C"/>
    <w:rsid w:val="00F2436B"/>
    <w:rsid w:val="00F27EB3"/>
    <w:rsid w:val="00F307F5"/>
    <w:rsid w:val="00F523DD"/>
    <w:rsid w:val="00FA54A6"/>
    <w:rsid w:val="00FC0F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C0FE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FA54A6"/>
    <w:rPr>
      <w:color w:val="808080"/>
    </w:rPr>
  </w:style>
  <w:style w:type="paragraph" w:customStyle="1" w:styleId="E1D14EA8C2A4439283DB5D330E8C0308">
    <w:name w:val="E1D14EA8C2A4439283DB5D330E8C0308"/>
    <w:rsid w:val="00FA54A6"/>
  </w:style>
  <w:style w:type="paragraph" w:customStyle="1" w:styleId="7E91CA18C36A4EF2B8457843B21947AE">
    <w:name w:val="7E91CA18C36A4EF2B8457843B21947AE"/>
    <w:rsid w:val="00FA54A6"/>
  </w:style>
  <w:style w:type="paragraph" w:customStyle="1" w:styleId="928B5D3EECAE480D8A0663F25A52C557">
    <w:name w:val="928B5D3EECAE480D8A0663F25A52C557"/>
    <w:rsid w:val="00FC0FE2"/>
  </w:style>
  <w:style w:type="paragraph" w:customStyle="1" w:styleId="84C7FC4CBF3F444EA433B4F1159498B3">
    <w:name w:val="84C7FC4CBF3F444EA433B4F1159498B3"/>
    <w:rsid w:val="00FC0FE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03C22F-FB6A-4015-8A8C-84B93C10B1E8}">
  <ds:schemaRefs>
    <ds:schemaRef ds:uri="http://schemas.openxmlformats.org/officeDocument/2006/bibliography"/>
  </ds:schemaRefs>
</ds:datastoreItem>
</file>

<file path=customXml/itemProps2.xml><?xml version="1.0" encoding="utf-8"?>
<ds:datastoreItem xmlns:ds="http://schemas.openxmlformats.org/officeDocument/2006/customXml" ds:itemID="{88354161-1262-42E4-B550-FC64D4D695E9}">
  <ds:schemaRefs>
    <ds:schemaRef ds:uri="http://schemas.openxmlformats.org/officeDocument/2006/bibliography"/>
  </ds:schemaRefs>
</ds:datastoreItem>
</file>

<file path=customXml/itemProps3.xml><?xml version="1.0" encoding="utf-8"?>
<ds:datastoreItem xmlns:ds="http://schemas.openxmlformats.org/officeDocument/2006/customXml" ds:itemID="{7D9F06DE-F7CE-4FE0-A511-1D51FA008652}">
  <ds:schemaRefs>
    <ds:schemaRef ds:uri="http://schemas.openxmlformats.org/officeDocument/2006/bibliography"/>
  </ds:schemaRefs>
</ds:datastoreItem>
</file>

<file path=customXml/itemProps4.xml><?xml version="1.0" encoding="utf-8"?>
<ds:datastoreItem xmlns:ds="http://schemas.openxmlformats.org/officeDocument/2006/customXml" ds:itemID="{2BE7BDFA-DC9E-437C-808D-8017BEC11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18973</Words>
  <Characters>113838</Characters>
  <Application>Microsoft Office Word</Application>
  <DocSecurity>4</DocSecurity>
  <Lines>948</Lines>
  <Paragraphs>265</Paragraphs>
  <ScaleCrop>false</ScaleCrop>
  <HeadingPairs>
    <vt:vector size="2" baseType="variant">
      <vt:variant>
        <vt:lpstr>Tytuł</vt:lpstr>
      </vt:variant>
      <vt:variant>
        <vt:i4>1</vt:i4>
      </vt:variant>
    </vt:vector>
  </HeadingPairs>
  <TitlesOfParts>
    <vt:vector size="1" baseType="lpstr">
      <vt:lpstr>Formularz OSR</vt:lpstr>
    </vt:vector>
  </TitlesOfParts>
  <LinksUpToDate>false</LinksUpToDate>
  <CharactersWithSpaces>132546</CharactersWithSpaces>
  <SharedDoc>false</SharedDoc>
  <HLinks>
    <vt:vector size="12" baseType="variant">
      <vt:variant>
        <vt:i4>1638433</vt:i4>
      </vt:variant>
      <vt:variant>
        <vt:i4>103</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jsessionid=1065FD5D001213ECD71FD650347F1674?redirect=http%3A%2F%2Fwww.mf.gov.pl%2Fministerstwo-finansow%2Fdzialalnosc%2Ffinanse-publiczne%2Fsytuacja-makroekonomiczna-i-finanse-publiczne%2Fwytyczne%3Fp_p_id%3D101_INSTANCE_S0gu%26p_p_lifecycle%3D0%26p_p_state%3Dnormal%26p_p_mode%3Dview%26p_p_col_id%3Dcolumn-2%26p_p_col_count%3D1%20-%20p_p_id_101_INSTANCE_S0gu_</vt:lpwstr>
      </vt:variant>
      <vt:variant>
        <vt:lpwstr/>
      </vt:variant>
      <vt:variant>
        <vt:i4>8323197</vt:i4>
      </vt:variant>
      <vt:variant>
        <vt:i4>100</vt:i4>
      </vt:variant>
      <vt:variant>
        <vt:i4>0</vt:i4>
      </vt:variant>
      <vt:variant>
        <vt:i4>5</vt:i4>
      </vt:variant>
      <vt:variant>
        <vt:lpwstr>http://www.mf.gov.pl/ministerstwo-finansow/dzialalnosc/finanse-publiczne/sytuacja-makroekonomiczna-i-finanse-publiczne/wytyczne/-/asset_publisher/S0gu/content/wytyczne-dotyczace-stosowania-jednolitych-wskaznikow-makroekonomicznych-bedacych-podstawa-oszacowania-skutkow-finansowych-projektowanych-ustaw?redirect=http%3A%2F%2Fwww.mf.gov.pl%2Fministerstwo-finansow%2Fdzialalnosc%2Ffinanse-publiczne%2Fsytuacja-makroekonomiczna-i-finanse-publiczne%2Fwytyczne%3Fp_p_id%3D101_INSTANCE_S0gu%26p_p_lifecycle%3D0%26p_p_state%3Dnormal%26p_p_mode%3Dview%26p_p_col_id%3Dcolumn-2%26p_p_col_count%3D1</vt:lpwstr>
      </vt:variant>
      <vt:variant>
        <vt:lpwstr>p_p_id_101_INSTANCE_S0gu_</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OSR</dc:title>
  <dc:creator/>
  <cp:keywords>ocena skutków regulacji</cp:keywords>
  <cp:lastModifiedBy/>
  <cp:revision>1</cp:revision>
  <dcterms:created xsi:type="dcterms:W3CDTF">2020-06-15T09:03:00Z</dcterms:created>
  <dcterms:modified xsi:type="dcterms:W3CDTF">2020-06-15T09:03:00Z</dcterms:modified>
</cp:coreProperties>
</file>